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A9A3E" w14:textId="77777777" w:rsidR="00585B6D" w:rsidRDefault="00BD74C6" w:rsidP="00BD74C6">
      <w:pPr>
        <w:pStyle w:val="Title"/>
      </w:pPr>
      <w:r>
        <w:t>Core of Knowledge Degree Learning Outcome Assessment</w:t>
      </w:r>
    </w:p>
    <w:p w14:paraId="129BFE77" w14:textId="3020F50F" w:rsidR="00BD74C6" w:rsidRDefault="006727EF" w:rsidP="00BD74C6">
      <w:r>
        <w:t xml:space="preserve"> </w:t>
      </w:r>
    </w:p>
    <w:p w14:paraId="11EC4508" w14:textId="572DFBA9" w:rsidR="006727EF" w:rsidRDefault="006727EF" w:rsidP="00BD74C6">
      <w:r>
        <w:t>July 2016</w:t>
      </w:r>
    </w:p>
    <w:p w14:paraId="6C8B5F7E" w14:textId="650A2C6E" w:rsidR="006727EF" w:rsidRPr="006727EF" w:rsidRDefault="006727EF" w:rsidP="00BD74C6">
      <w:pPr>
        <w:pStyle w:val="Heading1"/>
        <w:rPr>
          <w:rFonts w:asciiTheme="minorHAnsi" w:eastAsiaTheme="minorHAnsi" w:hAnsiTheme="minorHAnsi" w:cstheme="minorBidi"/>
          <w:color w:val="auto"/>
          <w:sz w:val="24"/>
          <w:szCs w:val="24"/>
        </w:rPr>
      </w:pPr>
      <w:r w:rsidRPr="006727EF">
        <w:rPr>
          <w:rFonts w:asciiTheme="minorHAnsi" w:eastAsiaTheme="minorHAnsi" w:hAnsiTheme="minorHAnsi" w:cstheme="minorBidi"/>
          <w:color w:val="auto"/>
          <w:sz w:val="24"/>
          <w:szCs w:val="24"/>
        </w:rPr>
        <w:t>Task Force members: Corinne Jarvis, Barbara Peterson, Pam Costa, Darlene Rompogren, Danielle Ritter, Beth Bayer, Jillian Edwards, Benjamin Paganelli, Analea Brauburger (facilitator), and Heather Gillanders</w:t>
      </w:r>
      <w:r w:rsidR="00924053">
        <w:rPr>
          <w:rFonts w:asciiTheme="minorHAnsi" w:eastAsiaTheme="minorHAnsi" w:hAnsiTheme="minorHAnsi" w:cstheme="minorBidi"/>
          <w:color w:val="auto"/>
          <w:sz w:val="24"/>
          <w:szCs w:val="24"/>
        </w:rPr>
        <w:t xml:space="preserve"> </w:t>
      </w:r>
      <w:r w:rsidRPr="006727EF">
        <w:rPr>
          <w:rFonts w:asciiTheme="minorHAnsi" w:eastAsiaTheme="minorHAnsi" w:hAnsiTheme="minorHAnsi" w:cstheme="minorBidi"/>
          <w:color w:val="auto"/>
          <w:sz w:val="24"/>
          <w:szCs w:val="24"/>
        </w:rPr>
        <w:t>(facilitator)</w:t>
      </w:r>
    </w:p>
    <w:p w14:paraId="057DC8B7" w14:textId="39DB4CC6" w:rsidR="00BD74C6" w:rsidRDefault="00BD74C6" w:rsidP="00BD74C6">
      <w:pPr>
        <w:pStyle w:val="Heading1"/>
      </w:pPr>
      <w:r>
        <w:t>Introduction</w:t>
      </w:r>
    </w:p>
    <w:p w14:paraId="4589D1C6" w14:textId="2BD59036" w:rsidR="00C4151C" w:rsidRDefault="00A652A4" w:rsidP="00C4151C">
      <w:pPr>
        <w:rPr>
          <w:i/>
          <w:sz w:val="24"/>
          <w:szCs w:val="24"/>
        </w:rPr>
      </w:pPr>
      <w:r>
        <w:rPr>
          <w:sz w:val="24"/>
          <w:szCs w:val="24"/>
        </w:rPr>
        <w:t>In the summer of 2015</w:t>
      </w:r>
      <w:r w:rsidR="00776EFA">
        <w:rPr>
          <w:sz w:val="24"/>
          <w:szCs w:val="24"/>
        </w:rPr>
        <w:t>,</w:t>
      </w:r>
      <w:r w:rsidR="00C4151C" w:rsidRPr="00C4151C">
        <w:rPr>
          <w:sz w:val="24"/>
          <w:szCs w:val="24"/>
        </w:rPr>
        <w:t xml:space="preserve"> ten faculty members met with facilitator Kim Rzeszewicz to review the Core of Knowledge (C</w:t>
      </w:r>
      <w:r>
        <w:rPr>
          <w:sz w:val="24"/>
          <w:szCs w:val="24"/>
        </w:rPr>
        <w:t>OK) Degree Learning Outcome (DLO</w:t>
      </w:r>
      <w:r w:rsidR="00C4151C" w:rsidRPr="00C4151C">
        <w:rPr>
          <w:sz w:val="24"/>
          <w:szCs w:val="24"/>
        </w:rPr>
        <w:t>) and design a way to access this DLO. The COK DLO is defined as “</w:t>
      </w:r>
      <w:r w:rsidR="00C4151C" w:rsidRPr="00C4151C">
        <w:rPr>
          <w:i/>
          <w:sz w:val="24"/>
          <w:szCs w:val="24"/>
        </w:rPr>
        <w:t>Demonstrate a basic knowledge of each of the distribution areas (Written Communication, Humanities, Quantitative Skills, Natural Sciences, and Social Sciences; or, as applicable, specific professional/technical programs), integrate knowledge across disciplines, and apply this knowledge to academic, occupational, civic, and personal endeavors.</w:t>
      </w:r>
    </w:p>
    <w:p w14:paraId="534162BC" w14:textId="44B100BD" w:rsidR="00C4151C" w:rsidRPr="00C4151C" w:rsidRDefault="00C4151C" w:rsidP="00C4151C">
      <w:pPr>
        <w:rPr>
          <w:sz w:val="24"/>
          <w:szCs w:val="24"/>
        </w:rPr>
      </w:pPr>
      <w:r w:rsidRPr="00C4151C">
        <w:rPr>
          <w:sz w:val="24"/>
          <w:szCs w:val="24"/>
        </w:rPr>
        <w:t>The task force members determined that a rich database already exists in ten years’ worth of Program Learning Outcome (PLO) projects. Since each o</w:t>
      </w:r>
      <w:r w:rsidR="007B25FA">
        <w:rPr>
          <w:sz w:val="24"/>
          <w:szCs w:val="24"/>
        </w:rPr>
        <w:t>f the 27 programs on campus was</w:t>
      </w:r>
      <w:r w:rsidRPr="00C4151C">
        <w:rPr>
          <w:sz w:val="24"/>
          <w:szCs w:val="24"/>
        </w:rPr>
        <w:t xml:space="preserve"> assessed at least twice over this ten year span</w:t>
      </w:r>
      <w:r w:rsidR="002B17C2">
        <w:rPr>
          <w:sz w:val="24"/>
          <w:szCs w:val="24"/>
        </w:rPr>
        <w:t>,</w:t>
      </w:r>
      <w:r w:rsidRPr="00C4151C">
        <w:rPr>
          <w:sz w:val="24"/>
          <w:szCs w:val="24"/>
        </w:rPr>
        <w:t xml:space="preserve"> it was determined that no direct surveying of students of faculty members</w:t>
      </w:r>
      <w:r w:rsidR="00796996">
        <w:rPr>
          <w:sz w:val="24"/>
          <w:szCs w:val="24"/>
        </w:rPr>
        <w:t xml:space="preserve"> was necessary and that we could analyze</w:t>
      </w:r>
      <w:r w:rsidRPr="00C4151C">
        <w:rPr>
          <w:sz w:val="24"/>
          <w:szCs w:val="24"/>
        </w:rPr>
        <w:t xml:space="preserve"> the aggregate data. </w:t>
      </w:r>
      <w:r w:rsidR="009D0AAF">
        <w:rPr>
          <w:sz w:val="24"/>
          <w:szCs w:val="24"/>
        </w:rPr>
        <w:t xml:space="preserve">The goal was to determine </w:t>
      </w:r>
      <w:r w:rsidR="00776EFA">
        <w:rPr>
          <w:sz w:val="24"/>
          <w:szCs w:val="24"/>
        </w:rPr>
        <w:t xml:space="preserve">whether or how well </w:t>
      </w:r>
      <w:r w:rsidR="009D0AAF">
        <w:rPr>
          <w:sz w:val="24"/>
          <w:szCs w:val="24"/>
        </w:rPr>
        <w:t>the PLO projects addressed the COK DLO</w:t>
      </w:r>
      <w:r w:rsidRPr="00C4151C">
        <w:rPr>
          <w:sz w:val="24"/>
          <w:szCs w:val="24"/>
        </w:rPr>
        <w:t xml:space="preserve">. The goal was to collect data from past PLO </w:t>
      </w:r>
      <w:r w:rsidR="001E385D">
        <w:rPr>
          <w:sz w:val="24"/>
          <w:szCs w:val="24"/>
        </w:rPr>
        <w:t xml:space="preserve">assessment </w:t>
      </w:r>
      <w:r w:rsidRPr="00C4151C">
        <w:rPr>
          <w:sz w:val="24"/>
          <w:szCs w:val="24"/>
        </w:rPr>
        <w:t>projects</w:t>
      </w:r>
      <w:r w:rsidR="001E385D">
        <w:rPr>
          <w:sz w:val="24"/>
          <w:szCs w:val="24"/>
        </w:rPr>
        <w:t xml:space="preserve"> that</w:t>
      </w:r>
      <w:r w:rsidRPr="00C4151C">
        <w:rPr>
          <w:sz w:val="24"/>
          <w:szCs w:val="24"/>
        </w:rPr>
        <w:t xml:space="preserve"> focused on basic knowledge</w:t>
      </w:r>
      <w:r w:rsidR="00973965">
        <w:rPr>
          <w:sz w:val="24"/>
          <w:szCs w:val="24"/>
        </w:rPr>
        <w:t>;</w:t>
      </w:r>
      <w:r w:rsidRPr="00C4151C">
        <w:rPr>
          <w:sz w:val="24"/>
          <w:szCs w:val="24"/>
        </w:rPr>
        <w:t xml:space="preserve"> integration across disciplines</w:t>
      </w:r>
      <w:r w:rsidR="00973965">
        <w:rPr>
          <w:sz w:val="24"/>
          <w:szCs w:val="24"/>
        </w:rPr>
        <w:t xml:space="preserve">; </w:t>
      </w:r>
      <w:r w:rsidRPr="00C4151C">
        <w:rPr>
          <w:sz w:val="24"/>
          <w:szCs w:val="24"/>
        </w:rPr>
        <w:t>and application to academic, occupational, civic, and personal endeavors.</w:t>
      </w:r>
    </w:p>
    <w:p w14:paraId="0E759CEB" w14:textId="02B7B3F3" w:rsidR="00C4151C" w:rsidRPr="00C4151C" w:rsidRDefault="00C4151C" w:rsidP="00C4151C">
      <w:pPr>
        <w:rPr>
          <w:i/>
          <w:sz w:val="24"/>
          <w:szCs w:val="24"/>
        </w:rPr>
      </w:pPr>
      <w:r w:rsidRPr="00C4151C">
        <w:rPr>
          <w:sz w:val="24"/>
          <w:szCs w:val="24"/>
        </w:rPr>
        <w:t>A rubric was created looking at three specific parts of the COK DLO definition: demonstrating basic knowledge</w:t>
      </w:r>
      <w:r w:rsidR="002C114B">
        <w:rPr>
          <w:sz w:val="24"/>
          <w:szCs w:val="24"/>
        </w:rPr>
        <w:t>;</w:t>
      </w:r>
      <w:r w:rsidRPr="00C4151C">
        <w:rPr>
          <w:sz w:val="24"/>
          <w:szCs w:val="24"/>
        </w:rPr>
        <w:t xml:space="preserve"> integrating COK across college disciplines; and applying this knowledge to academic, occupational, civic, </w:t>
      </w:r>
      <w:r w:rsidR="004774D3">
        <w:rPr>
          <w:sz w:val="24"/>
          <w:szCs w:val="24"/>
        </w:rPr>
        <w:t>and personal endeavors. The task force</w:t>
      </w:r>
      <w:r w:rsidRPr="00C4151C">
        <w:rPr>
          <w:sz w:val="24"/>
          <w:szCs w:val="24"/>
        </w:rPr>
        <w:t xml:space="preserve"> used the Association of American Colleges and Universities (AAC&amp;U) VALUE (Valid Assessment of Learning in Undergraduate Education) criteria as a starting point in the rubric development but quickly determined </w:t>
      </w:r>
      <w:r w:rsidR="00504F48">
        <w:rPr>
          <w:sz w:val="24"/>
          <w:szCs w:val="24"/>
        </w:rPr>
        <w:t>that</w:t>
      </w:r>
      <w:r w:rsidR="002A784F">
        <w:rPr>
          <w:sz w:val="24"/>
          <w:szCs w:val="24"/>
        </w:rPr>
        <w:t xml:space="preserve"> </w:t>
      </w:r>
      <w:r w:rsidR="00504F48" w:rsidRPr="00504F48">
        <w:rPr>
          <w:sz w:val="24"/>
          <w:szCs w:val="24"/>
        </w:rPr>
        <w:t xml:space="preserve">a dichotomous rubric, that answered </w:t>
      </w:r>
      <w:r w:rsidR="00504F48" w:rsidRPr="00504F48">
        <w:rPr>
          <w:i/>
          <w:sz w:val="24"/>
          <w:szCs w:val="24"/>
        </w:rPr>
        <w:t xml:space="preserve">Yes </w:t>
      </w:r>
      <w:r w:rsidR="00504F48" w:rsidRPr="00504F48">
        <w:rPr>
          <w:sz w:val="24"/>
          <w:szCs w:val="24"/>
        </w:rPr>
        <w:t xml:space="preserve">or </w:t>
      </w:r>
      <w:r w:rsidR="00504F48" w:rsidRPr="00504F48">
        <w:rPr>
          <w:i/>
          <w:sz w:val="24"/>
          <w:szCs w:val="24"/>
        </w:rPr>
        <w:t>No</w:t>
      </w:r>
      <w:r w:rsidR="00504F48" w:rsidRPr="00504F48">
        <w:rPr>
          <w:sz w:val="24"/>
          <w:szCs w:val="24"/>
        </w:rPr>
        <w:t xml:space="preserve"> to the research questions, would be easier to analyze.</w:t>
      </w:r>
    </w:p>
    <w:p w14:paraId="43E7B248" w14:textId="28261B6A" w:rsidR="00EB0AF8" w:rsidRDefault="00EB0AF8" w:rsidP="00BD74C6">
      <w:pPr>
        <w:rPr>
          <w:sz w:val="24"/>
          <w:szCs w:val="24"/>
        </w:rPr>
      </w:pPr>
      <w:r w:rsidRPr="00EB0AF8">
        <w:rPr>
          <w:sz w:val="24"/>
          <w:szCs w:val="24"/>
        </w:rPr>
        <w:t xml:space="preserve">Ten of the programs were not included in this project </w:t>
      </w:r>
      <w:r w:rsidR="00463905">
        <w:rPr>
          <w:sz w:val="24"/>
          <w:szCs w:val="24"/>
        </w:rPr>
        <w:t xml:space="preserve">either </w:t>
      </w:r>
      <w:r w:rsidRPr="00EB0AF8">
        <w:rPr>
          <w:sz w:val="24"/>
          <w:szCs w:val="24"/>
        </w:rPr>
        <w:t>because they did not apply to the DLO assessment work or</w:t>
      </w:r>
      <w:r w:rsidR="00463905">
        <w:rPr>
          <w:sz w:val="24"/>
          <w:szCs w:val="24"/>
        </w:rPr>
        <w:t xml:space="preserve"> because</w:t>
      </w:r>
      <w:r w:rsidRPr="00EB0AF8">
        <w:rPr>
          <w:sz w:val="24"/>
          <w:szCs w:val="24"/>
        </w:rPr>
        <w:t xml:space="preserve"> they were support programs.</w:t>
      </w:r>
    </w:p>
    <w:p w14:paraId="2AB2560F" w14:textId="1564DCB9" w:rsidR="00BD74C6" w:rsidRPr="00C4151C" w:rsidRDefault="00C4151C" w:rsidP="00BD74C6">
      <w:pPr>
        <w:rPr>
          <w:sz w:val="24"/>
          <w:szCs w:val="24"/>
        </w:rPr>
      </w:pPr>
      <w:r w:rsidRPr="00C4151C">
        <w:rPr>
          <w:sz w:val="24"/>
          <w:szCs w:val="24"/>
        </w:rPr>
        <w:lastRenderedPageBreak/>
        <w:t>In January seven members of the task force examined the PLO projects of 17 programs across campus. Each reviewer looked at two PLO project reports for each of his or her assigned progra</w:t>
      </w:r>
      <w:r w:rsidR="00DC2CB1">
        <w:rPr>
          <w:sz w:val="24"/>
          <w:szCs w:val="24"/>
        </w:rPr>
        <w:t>m</w:t>
      </w:r>
      <w:r w:rsidR="00D2746A">
        <w:rPr>
          <w:sz w:val="24"/>
          <w:szCs w:val="24"/>
        </w:rPr>
        <w:t xml:space="preserve">s. The results were recorded </w:t>
      </w:r>
      <w:r w:rsidR="00DC2CB1">
        <w:rPr>
          <w:sz w:val="24"/>
          <w:szCs w:val="24"/>
        </w:rPr>
        <w:t>using</w:t>
      </w:r>
      <w:r w:rsidRPr="00C4151C">
        <w:rPr>
          <w:sz w:val="24"/>
          <w:szCs w:val="24"/>
        </w:rPr>
        <w:t xml:space="preserve"> Survey Monkey. </w:t>
      </w:r>
    </w:p>
    <w:p w14:paraId="169C3B91" w14:textId="77777777" w:rsidR="00BD74C6" w:rsidRDefault="00BD74C6" w:rsidP="00BD74C6">
      <w:pPr>
        <w:pStyle w:val="Heading1"/>
      </w:pPr>
      <w:r>
        <w:t>Results</w:t>
      </w:r>
    </w:p>
    <w:p w14:paraId="07296C05" w14:textId="5A019C99" w:rsidR="009E67B9" w:rsidRPr="00E416C3" w:rsidRDefault="00E416C3" w:rsidP="00E416C3">
      <w:pPr>
        <w:rPr>
          <w:sz w:val="24"/>
          <w:szCs w:val="24"/>
        </w:rPr>
      </w:pPr>
      <w:r w:rsidRPr="00E416C3">
        <w:rPr>
          <w:sz w:val="24"/>
          <w:szCs w:val="24"/>
        </w:rPr>
        <w:t>The task force evaluated 17 di</w:t>
      </w:r>
      <w:r w:rsidR="009E67B9">
        <w:rPr>
          <w:sz w:val="24"/>
          <w:szCs w:val="24"/>
        </w:rPr>
        <w:t xml:space="preserve">fferent PLO assessment reports </w:t>
      </w:r>
      <w:r w:rsidRPr="00E416C3">
        <w:rPr>
          <w:sz w:val="24"/>
          <w:szCs w:val="24"/>
        </w:rPr>
        <w:t xml:space="preserve">from academic years 2011-2012 (9), 2012-2013 (1), 2013-2014 (6), and 2013-2014 (1). </w:t>
      </w:r>
    </w:p>
    <w:p w14:paraId="3E0424FA" w14:textId="450D309B" w:rsidR="00E416C3" w:rsidRDefault="00843807" w:rsidP="00E416C3">
      <w:pPr>
        <w:rPr>
          <w:sz w:val="24"/>
          <w:szCs w:val="24"/>
        </w:rPr>
      </w:pPr>
      <w:r w:rsidRPr="00843807">
        <w:rPr>
          <w:sz w:val="24"/>
          <w:szCs w:val="24"/>
        </w:rPr>
        <w:t xml:space="preserve">For the purposes of this project, all of the questions were dichotomous </w:t>
      </w:r>
      <w:r w:rsidR="00833B11">
        <w:rPr>
          <w:sz w:val="24"/>
          <w:szCs w:val="24"/>
        </w:rPr>
        <w:t>be</w:t>
      </w:r>
      <w:r>
        <w:rPr>
          <w:sz w:val="24"/>
          <w:szCs w:val="24"/>
        </w:rPr>
        <w:t xml:space="preserve">cause the task force could </w:t>
      </w:r>
      <w:r w:rsidR="00833B11">
        <w:rPr>
          <w:sz w:val="24"/>
          <w:szCs w:val="24"/>
        </w:rPr>
        <w:t xml:space="preserve">determine </w:t>
      </w:r>
      <w:r>
        <w:rPr>
          <w:sz w:val="24"/>
          <w:szCs w:val="24"/>
        </w:rPr>
        <w:t xml:space="preserve">only </w:t>
      </w:r>
      <w:r w:rsidR="00833B11">
        <w:rPr>
          <w:sz w:val="24"/>
          <w:szCs w:val="24"/>
        </w:rPr>
        <w:t>if</w:t>
      </w:r>
      <w:r w:rsidR="00DD2289">
        <w:rPr>
          <w:sz w:val="24"/>
          <w:szCs w:val="24"/>
        </w:rPr>
        <w:t xml:space="preserve"> the COK outcome was met or unmet.</w:t>
      </w:r>
    </w:p>
    <w:p w14:paraId="4C24AD2C" w14:textId="0D03AC16" w:rsidR="00843ABB" w:rsidRDefault="00843ABB" w:rsidP="00843ABB">
      <w:pPr>
        <w:pStyle w:val="Heading2"/>
      </w:pPr>
      <w:r>
        <w:t>Preliminary Question</w:t>
      </w:r>
      <w:r w:rsidR="00154E9C">
        <w:t xml:space="preserve"> and Result</w:t>
      </w:r>
    </w:p>
    <w:p w14:paraId="7E6D87E9" w14:textId="05BD11DC" w:rsidR="00843ABB" w:rsidRPr="00843ABB" w:rsidRDefault="00843ABB" w:rsidP="00843ABB">
      <w:pPr>
        <w:spacing w:after="160" w:line="259" w:lineRule="auto"/>
        <w:rPr>
          <w:sz w:val="24"/>
          <w:szCs w:val="24"/>
        </w:rPr>
      </w:pPr>
      <w:r w:rsidRPr="00FB3A77">
        <w:rPr>
          <w:b/>
          <w:sz w:val="24"/>
          <w:szCs w:val="24"/>
        </w:rPr>
        <w:t>Preliminary question:</w:t>
      </w:r>
      <w:r w:rsidRPr="00843ABB">
        <w:rPr>
          <w:sz w:val="24"/>
          <w:szCs w:val="24"/>
        </w:rPr>
        <w:t xml:space="preserve"> </w:t>
      </w:r>
      <w:r w:rsidR="000F0319">
        <w:rPr>
          <w:sz w:val="24"/>
          <w:szCs w:val="24"/>
        </w:rPr>
        <w:t>Can students</w:t>
      </w:r>
      <w:r w:rsidRPr="00843ABB">
        <w:rPr>
          <w:sz w:val="24"/>
          <w:szCs w:val="24"/>
        </w:rPr>
        <w:t xml:space="preserve"> graduate without taking any courses identified as teaching the COK DLO?</w:t>
      </w:r>
    </w:p>
    <w:p w14:paraId="5D38AA06" w14:textId="2B80418B" w:rsidR="000B0C81" w:rsidRPr="00935678" w:rsidRDefault="000F53F9" w:rsidP="00935678">
      <w:pPr>
        <w:spacing w:after="160" w:line="259" w:lineRule="auto"/>
        <w:rPr>
          <w:sz w:val="24"/>
          <w:szCs w:val="24"/>
        </w:rPr>
      </w:pPr>
      <w:r w:rsidRPr="00FB3A77">
        <w:rPr>
          <w:b/>
          <w:sz w:val="24"/>
          <w:szCs w:val="24"/>
        </w:rPr>
        <w:t>Result:</w:t>
      </w:r>
      <w:r>
        <w:rPr>
          <w:sz w:val="24"/>
          <w:szCs w:val="24"/>
        </w:rPr>
        <w:t xml:space="preserve"> </w:t>
      </w:r>
      <w:r w:rsidR="00935678">
        <w:rPr>
          <w:sz w:val="24"/>
          <w:szCs w:val="24"/>
        </w:rPr>
        <w:t>A r</w:t>
      </w:r>
      <w:r w:rsidR="00843ABB" w:rsidRPr="00935678">
        <w:rPr>
          <w:sz w:val="24"/>
          <w:szCs w:val="24"/>
        </w:rPr>
        <w:t xml:space="preserve">andom sample </w:t>
      </w:r>
      <w:r>
        <w:rPr>
          <w:sz w:val="24"/>
          <w:szCs w:val="24"/>
        </w:rPr>
        <w:t xml:space="preserve">of 25 graduate </w:t>
      </w:r>
      <w:r w:rsidR="00454FC0">
        <w:rPr>
          <w:sz w:val="24"/>
          <w:szCs w:val="24"/>
        </w:rPr>
        <w:t xml:space="preserve">Spring 2016 </w:t>
      </w:r>
      <w:r>
        <w:rPr>
          <w:sz w:val="24"/>
          <w:szCs w:val="24"/>
        </w:rPr>
        <w:t>transcripts sh</w:t>
      </w:r>
      <w:r w:rsidR="00843ABB" w:rsidRPr="00935678">
        <w:rPr>
          <w:sz w:val="24"/>
          <w:szCs w:val="24"/>
        </w:rPr>
        <w:t>owed that students took 5-25 course</w:t>
      </w:r>
      <w:r w:rsidR="000808DB">
        <w:rPr>
          <w:sz w:val="24"/>
          <w:szCs w:val="24"/>
        </w:rPr>
        <w:t>s</w:t>
      </w:r>
      <w:r w:rsidR="00E5374E" w:rsidRPr="00935678">
        <w:rPr>
          <w:sz w:val="24"/>
          <w:szCs w:val="24"/>
        </w:rPr>
        <w:t xml:space="preserve"> within their program that </w:t>
      </w:r>
      <w:r w:rsidR="00843ABB" w:rsidRPr="00935678">
        <w:rPr>
          <w:sz w:val="24"/>
          <w:szCs w:val="24"/>
        </w:rPr>
        <w:t>addressed COK.</w:t>
      </w:r>
    </w:p>
    <w:p w14:paraId="19A09717" w14:textId="422219CC" w:rsidR="00843ABB" w:rsidRPr="00843ABB" w:rsidRDefault="00A972DD" w:rsidP="00CC3ACE">
      <w:pPr>
        <w:pStyle w:val="Heading2"/>
      </w:pPr>
      <w:r>
        <w:t>Research Questions and R</w:t>
      </w:r>
      <w:r w:rsidR="00E416C3" w:rsidRPr="00E416C3">
        <w:t>esults</w:t>
      </w:r>
    </w:p>
    <w:p w14:paraId="106675F7" w14:textId="58AD526F" w:rsidR="00E416C3" w:rsidRPr="00E416C3" w:rsidRDefault="00E416C3" w:rsidP="00E416C3">
      <w:pPr>
        <w:rPr>
          <w:sz w:val="24"/>
          <w:szCs w:val="24"/>
        </w:rPr>
      </w:pPr>
      <w:r w:rsidRPr="00E416C3">
        <w:rPr>
          <w:b/>
          <w:sz w:val="24"/>
          <w:szCs w:val="24"/>
        </w:rPr>
        <w:t>Question #1</w:t>
      </w:r>
      <w:r w:rsidR="00D90DA9">
        <w:rPr>
          <w:sz w:val="24"/>
          <w:szCs w:val="24"/>
        </w:rPr>
        <w:t xml:space="preserve"> – </w:t>
      </w:r>
      <w:r w:rsidR="00914224">
        <w:rPr>
          <w:sz w:val="24"/>
          <w:szCs w:val="24"/>
        </w:rPr>
        <w:t>COK Basic Content: The report demonstrates basic knowledge of distribution area/prof-tech program.</w:t>
      </w:r>
    </w:p>
    <w:p w14:paraId="641A7E4A" w14:textId="77777777" w:rsidR="002B3A53" w:rsidRDefault="002B3A53" w:rsidP="002B3A53">
      <w:pPr>
        <w:ind w:left="720"/>
        <w:rPr>
          <w:sz w:val="24"/>
          <w:szCs w:val="24"/>
        </w:rPr>
      </w:pPr>
      <w:r w:rsidRPr="002B3A53">
        <w:rPr>
          <w:sz w:val="24"/>
          <w:szCs w:val="24"/>
        </w:rPr>
        <w:t>Demonstrating basic knowledge is defined as identifying the PLO in the report and relating the discussion of the project to the identified PLO.</w:t>
      </w:r>
    </w:p>
    <w:p w14:paraId="23488738" w14:textId="676BD1C5" w:rsidR="00E416C3" w:rsidRDefault="00E416C3" w:rsidP="00E416C3">
      <w:pPr>
        <w:rPr>
          <w:sz w:val="24"/>
          <w:szCs w:val="24"/>
        </w:rPr>
      </w:pPr>
      <w:r w:rsidRPr="00E416C3">
        <w:rPr>
          <w:b/>
          <w:sz w:val="24"/>
          <w:szCs w:val="24"/>
        </w:rPr>
        <w:t>Result:</w:t>
      </w:r>
      <w:r w:rsidRPr="00E416C3">
        <w:rPr>
          <w:sz w:val="24"/>
          <w:szCs w:val="24"/>
        </w:rPr>
        <w:t xml:space="preserve"> The PLO assessments demonstrated basic knowledge of the distribution area/prof-tech program as evidenced by 88.24% (15) assessed as “YES” and 11.76% (2) assessed as “NO</w:t>
      </w:r>
      <w:r w:rsidR="00EB0AF8">
        <w:rPr>
          <w:sz w:val="24"/>
          <w:szCs w:val="24"/>
        </w:rPr>
        <w:t>,”</w:t>
      </w:r>
      <w:r w:rsidR="00DC2CB1">
        <w:rPr>
          <w:sz w:val="24"/>
          <w:szCs w:val="24"/>
        </w:rPr>
        <w:t xml:space="preserve"> illustrated in the following graph:</w:t>
      </w:r>
    </w:p>
    <w:p w14:paraId="18B830EF" w14:textId="626F6A60" w:rsidR="004041A2" w:rsidRPr="00E416C3" w:rsidRDefault="004041A2" w:rsidP="004041A2">
      <w:pPr>
        <w:jc w:val="center"/>
        <w:rPr>
          <w:sz w:val="24"/>
          <w:szCs w:val="24"/>
        </w:rPr>
      </w:pPr>
      <w:r>
        <w:rPr>
          <w:noProof/>
          <w:sz w:val="24"/>
          <w:szCs w:val="24"/>
        </w:rPr>
        <w:lastRenderedPageBreak/>
        <w:drawing>
          <wp:inline distT="0" distB="0" distL="0" distR="0" wp14:anchorId="6750E17B" wp14:editId="7D9DEE2F">
            <wp:extent cx="4451350" cy="2306047"/>
            <wp:effectExtent l="152400" t="152400" r="368300" b="3613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_4_COK.png"/>
                    <pic:cNvPicPr/>
                  </pic:nvPicPr>
                  <pic:blipFill>
                    <a:blip r:embed="rId8">
                      <a:extLst>
                        <a:ext uri="{28A0092B-C50C-407E-A947-70E740481C1C}">
                          <a14:useLocalDpi xmlns:a14="http://schemas.microsoft.com/office/drawing/2010/main" val="0"/>
                        </a:ext>
                      </a:extLst>
                    </a:blip>
                    <a:stretch>
                      <a:fillRect/>
                    </a:stretch>
                  </pic:blipFill>
                  <pic:spPr>
                    <a:xfrm>
                      <a:off x="0" y="0"/>
                      <a:ext cx="4470488" cy="2315962"/>
                    </a:xfrm>
                    <a:prstGeom prst="rect">
                      <a:avLst/>
                    </a:prstGeom>
                    <a:ln>
                      <a:noFill/>
                    </a:ln>
                    <a:effectLst>
                      <a:outerShdw blurRad="292100" dist="139700" dir="2700000" algn="tl" rotWithShape="0">
                        <a:srgbClr val="333333">
                          <a:alpha val="65000"/>
                        </a:srgbClr>
                      </a:outerShdw>
                    </a:effectLst>
                  </pic:spPr>
                </pic:pic>
              </a:graphicData>
            </a:graphic>
          </wp:inline>
        </w:drawing>
      </w:r>
    </w:p>
    <w:p w14:paraId="30783075" w14:textId="248A7EDE" w:rsidR="00E416C3" w:rsidRDefault="00E416C3" w:rsidP="00E416C3">
      <w:pPr>
        <w:rPr>
          <w:sz w:val="24"/>
          <w:szCs w:val="24"/>
        </w:rPr>
      </w:pPr>
      <w:r w:rsidRPr="00E416C3">
        <w:rPr>
          <w:b/>
          <w:sz w:val="24"/>
          <w:szCs w:val="24"/>
        </w:rPr>
        <w:t>Question #2</w:t>
      </w:r>
      <w:r w:rsidR="004F3E7A">
        <w:rPr>
          <w:b/>
          <w:sz w:val="24"/>
          <w:szCs w:val="24"/>
        </w:rPr>
        <w:t>a</w:t>
      </w:r>
      <w:r w:rsidRPr="00E416C3">
        <w:rPr>
          <w:sz w:val="24"/>
          <w:szCs w:val="24"/>
        </w:rPr>
        <w:t xml:space="preserve"> – </w:t>
      </w:r>
      <w:r w:rsidR="006C313A">
        <w:rPr>
          <w:sz w:val="24"/>
          <w:szCs w:val="24"/>
        </w:rPr>
        <w:t xml:space="preserve">Integration: </w:t>
      </w:r>
      <w:r w:rsidRPr="00E416C3">
        <w:rPr>
          <w:sz w:val="24"/>
          <w:szCs w:val="24"/>
        </w:rPr>
        <w:t>T</w:t>
      </w:r>
      <w:r w:rsidR="002B3A53">
        <w:rPr>
          <w:sz w:val="24"/>
          <w:szCs w:val="24"/>
        </w:rPr>
        <w:t>he report shows assessment of</w:t>
      </w:r>
      <w:r w:rsidRPr="00E416C3">
        <w:rPr>
          <w:sz w:val="24"/>
          <w:szCs w:val="24"/>
        </w:rPr>
        <w:t xml:space="preserve"> integration of knowledge across disciplines (check all that apply).</w:t>
      </w:r>
    </w:p>
    <w:p w14:paraId="2E5B5A32" w14:textId="31770D90" w:rsidR="002B3A53" w:rsidRPr="00985009" w:rsidRDefault="00985009" w:rsidP="00985009">
      <w:pPr>
        <w:ind w:left="720"/>
        <w:rPr>
          <w:sz w:val="24"/>
          <w:szCs w:val="24"/>
        </w:rPr>
      </w:pPr>
      <w:r w:rsidRPr="00985009">
        <w:rPr>
          <w:sz w:val="24"/>
          <w:szCs w:val="24"/>
        </w:rPr>
        <w:t>Integration of knowledge is defined as making connections or drawing conclusions using examples, facts, or theories from within one’s own discipline or from more than one discipline.</w:t>
      </w:r>
    </w:p>
    <w:p w14:paraId="109A35DC" w14:textId="1D28FDFA" w:rsidR="00E416C3" w:rsidRPr="00E416C3" w:rsidRDefault="00E416C3" w:rsidP="00E416C3">
      <w:pPr>
        <w:rPr>
          <w:sz w:val="24"/>
          <w:szCs w:val="24"/>
        </w:rPr>
      </w:pPr>
      <w:r w:rsidRPr="00E416C3">
        <w:rPr>
          <w:b/>
          <w:sz w:val="24"/>
          <w:szCs w:val="24"/>
        </w:rPr>
        <w:t>Result:</w:t>
      </w:r>
      <w:r w:rsidR="00CC7009">
        <w:rPr>
          <w:sz w:val="24"/>
          <w:szCs w:val="24"/>
        </w:rPr>
        <w:t xml:space="preserve"> The PLO assessment reports</w:t>
      </w:r>
      <w:r w:rsidRPr="00E416C3">
        <w:rPr>
          <w:sz w:val="24"/>
          <w:szCs w:val="24"/>
        </w:rPr>
        <w:t xml:space="preserve"> </w:t>
      </w:r>
      <w:r w:rsidR="00636992">
        <w:rPr>
          <w:sz w:val="24"/>
          <w:szCs w:val="24"/>
        </w:rPr>
        <w:t>reflected</w:t>
      </w:r>
      <w:r w:rsidRPr="00E416C3">
        <w:rPr>
          <w:sz w:val="24"/>
          <w:szCs w:val="24"/>
        </w:rPr>
        <w:t xml:space="preserve"> an integration of knowledge across disciplines.</w:t>
      </w:r>
      <w:r w:rsidR="00DC2CB1">
        <w:rPr>
          <w:sz w:val="24"/>
          <w:szCs w:val="24"/>
        </w:rPr>
        <w:t xml:space="preserve"> A graphic representation of the results follow</w:t>
      </w:r>
      <w:r w:rsidR="00E07080">
        <w:rPr>
          <w:sz w:val="24"/>
          <w:szCs w:val="24"/>
        </w:rPr>
        <w:t>s the list below</w:t>
      </w:r>
      <w:r w:rsidR="00DC2CB1">
        <w:rPr>
          <w:sz w:val="24"/>
          <w:szCs w:val="24"/>
        </w:rPr>
        <w:t>.</w:t>
      </w:r>
    </w:p>
    <w:p w14:paraId="0710FE9C" w14:textId="77777777" w:rsidR="00E416C3" w:rsidRPr="00E416C3" w:rsidRDefault="00E416C3" w:rsidP="00E416C3">
      <w:pPr>
        <w:pStyle w:val="ListParagraph"/>
        <w:numPr>
          <w:ilvl w:val="0"/>
          <w:numId w:val="5"/>
        </w:numPr>
        <w:spacing w:after="160" w:line="259" w:lineRule="auto"/>
        <w:rPr>
          <w:sz w:val="24"/>
          <w:szCs w:val="24"/>
        </w:rPr>
      </w:pPr>
      <w:r w:rsidRPr="00E416C3">
        <w:rPr>
          <w:sz w:val="24"/>
          <w:szCs w:val="24"/>
        </w:rPr>
        <w:t>Written Communication 56.25% (9)</w:t>
      </w:r>
    </w:p>
    <w:p w14:paraId="3204574D" w14:textId="77777777" w:rsidR="00E416C3" w:rsidRPr="00E416C3" w:rsidRDefault="00E416C3" w:rsidP="00E416C3">
      <w:pPr>
        <w:pStyle w:val="ListParagraph"/>
        <w:numPr>
          <w:ilvl w:val="0"/>
          <w:numId w:val="5"/>
        </w:numPr>
        <w:spacing w:after="160" w:line="259" w:lineRule="auto"/>
        <w:rPr>
          <w:sz w:val="24"/>
          <w:szCs w:val="24"/>
        </w:rPr>
      </w:pPr>
      <w:r w:rsidRPr="00E416C3">
        <w:rPr>
          <w:sz w:val="24"/>
          <w:szCs w:val="24"/>
        </w:rPr>
        <w:t>Humanities 43.75% (7)</w:t>
      </w:r>
    </w:p>
    <w:p w14:paraId="6B95FA63" w14:textId="77777777" w:rsidR="00E416C3" w:rsidRPr="00E416C3" w:rsidRDefault="00E416C3" w:rsidP="00E416C3">
      <w:pPr>
        <w:pStyle w:val="ListParagraph"/>
        <w:numPr>
          <w:ilvl w:val="0"/>
          <w:numId w:val="5"/>
        </w:numPr>
        <w:spacing w:after="160" w:line="259" w:lineRule="auto"/>
        <w:rPr>
          <w:sz w:val="24"/>
          <w:szCs w:val="24"/>
        </w:rPr>
      </w:pPr>
      <w:r w:rsidRPr="00E416C3">
        <w:rPr>
          <w:sz w:val="24"/>
          <w:szCs w:val="24"/>
        </w:rPr>
        <w:t>Quantitative Skills 62.50% (10)</w:t>
      </w:r>
    </w:p>
    <w:p w14:paraId="73B3AADD" w14:textId="77777777" w:rsidR="00E416C3" w:rsidRPr="00E416C3" w:rsidRDefault="00E416C3" w:rsidP="00E416C3">
      <w:pPr>
        <w:pStyle w:val="ListParagraph"/>
        <w:numPr>
          <w:ilvl w:val="0"/>
          <w:numId w:val="5"/>
        </w:numPr>
        <w:spacing w:after="160" w:line="259" w:lineRule="auto"/>
        <w:rPr>
          <w:sz w:val="24"/>
          <w:szCs w:val="24"/>
        </w:rPr>
      </w:pPr>
      <w:r w:rsidRPr="00E416C3">
        <w:rPr>
          <w:sz w:val="24"/>
          <w:szCs w:val="24"/>
        </w:rPr>
        <w:t>Natural Sciences 37.50% (6)</w:t>
      </w:r>
    </w:p>
    <w:p w14:paraId="4EAEC6B6" w14:textId="77777777" w:rsidR="00E416C3" w:rsidRPr="00E416C3" w:rsidRDefault="00E416C3" w:rsidP="00E416C3">
      <w:pPr>
        <w:pStyle w:val="ListParagraph"/>
        <w:numPr>
          <w:ilvl w:val="0"/>
          <w:numId w:val="5"/>
        </w:numPr>
        <w:spacing w:after="160" w:line="259" w:lineRule="auto"/>
        <w:rPr>
          <w:sz w:val="24"/>
          <w:szCs w:val="24"/>
        </w:rPr>
      </w:pPr>
      <w:r w:rsidRPr="00E416C3">
        <w:rPr>
          <w:sz w:val="24"/>
          <w:szCs w:val="24"/>
        </w:rPr>
        <w:t>Social Sciences 37.50% (6)</w:t>
      </w:r>
    </w:p>
    <w:p w14:paraId="61BAEA2E" w14:textId="13ACBFC2" w:rsidR="00E416C3" w:rsidRDefault="00E416C3" w:rsidP="00E416C3">
      <w:pPr>
        <w:pStyle w:val="ListParagraph"/>
        <w:numPr>
          <w:ilvl w:val="0"/>
          <w:numId w:val="5"/>
        </w:numPr>
        <w:spacing w:after="160" w:line="259" w:lineRule="auto"/>
        <w:rPr>
          <w:sz w:val="24"/>
          <w:szCs w:val="24"/>
        </w:rPr>
      </w:pPr>
      <w:r w:rsidRPr="00E416C3">
        <w:rPr>
          <w:sz w:val="24"/>
          <w:szCs w:val="24"/>
        </w:rPr>
        <w:t>Prof Tech (other than program being assessed) 25.00% (4)</w:t>
      </w:r>
    </w:p>
    <w:p w14:paraId="2EC78194" w14:textId="5C98DF2B" w:rsidR="004041A2" w:rsidRPr="004041A2" w:rsidRDefault="004041A2" w:rsidP="00D80D62">
      <w:pPr>
        <w:spacing w:after="160" w:line="259" w:lineRule="auto"/>
        <w:jc w:val="center"/>
        <w:rPr>
          <w:sz w:val="24"/>
          <w:szCs w:val="24"/>
        </w:rPr>
      </w:pPr>
      <w:r>
        <w:rPr>
          <w:noProof/>
          <w:sz w:val="24"/>
          <w:szCs w:val="24"/>
        </w:rPr>
        <w:lastRenderedPageBreak/>
        <w:drawing>
          <wp:inline distT="0" distB="0" distL="0" distR="0" wp14:anchorId="6FB665C3" wp14:editId="51DB2311">
            <wp:extent cx="5365750" cy="3835709"/>
            <wp:effectExtent l="152400" t="152400" r="368300" b="3556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_5_COK.png"/>
                    <pic:cNvPicPr/>
                  </pic:nvPicPr>
                  <pic:blipFill>
                    <a:blip r:embed="rId9">
                      <a:extLst>
                        <a:ext uri="{28A0092B-C50C-407E-A947-70E740481C1C}">
                          <a14:useLocalDpi xmlns:a14="http://schemas.microsoft.com/office/drawing/2010/main" val="0"/>
                        </a:ext>
                      </a:extLst>
                    </a:blip>
                    <a:stretch>
                      <a:fillRect/>
                    </a:stretch>
                  </pic:blipFill>
                  <pic:spPr>
                    <a:xfrm>
                      <a:off x="0" y="0"/>
                      <a:ext cx="5368009" cy="3837324"/>
                    </a:xfrm>
                    <a:prstGeom prst="rect">
                      <a:avLst/>
                    </a:prstGeom>
                    <a:ln>
                      <a:noFill/>
                    </a:ln>
                    <a:effectLst>
                      <a:outerShdw blurRad="292100" dist="139700" dir="2700000" algn="tl" rotWithShape="0">
                        <a:srgbClr val="333333">
                          <a:alpha val="65000"/>
                        </a:srgbClr>
                      </a:outerShdw>
                    </a:effectLst>
                  </pic:spPr>
                </pic:pic>
              </a:graphicData>
            </a:graphic>
          </wp:inline>
        </w:drawing>
      </w:r>
    </w:p>
    <w:p w14:paraId="5AB6C917" w14:textId="1642AE1C" w:rsidR="00E416C3" w:rsidRPr="00E416C3" w:rsidRDefault="00E416C3" w:rsidP="00E416C3">
      <w:pPr>
        <w:rPr>
          <w:sz w:val="24"/>
          <w:szCs w:val="24"/>
        </w:rPr>
      </w:pPr>
      <w:r w:rsidRPr="00E416C3">
        <w:rPr>
          <w:b/>
          <w:sz w:val="24"/>
          <w:szCs w:val="24"/>
        </w:rPr>
        <w:t>Question #2b</w:t>
      </w:r>
      <w:r w:rsidRPr="00E416C3">
        <w:rPr>
          <w:sz w:val="24"/>
          <w:szCs w:val="24"/>
        </w:rPr>
        <w:t xml:space="preserve"> – </w:t>
      </w:r>
      <w:r w:rsidR="002C4E57">
        <w:rPr>
          <w:sz w:val="24"/>
          <w:szCs w:val="24"/>
        </w:rPr>
        <w:t xml:space="preserve">Integration: </w:t>
      </w:r>
      <w:r w:rsidRPr="00E416C3">
        <w:rPr>
          <w:sz w:val="24"/>
          <w:szCs w:val="24"/>
        </w:rPr>
        <w:t>The report shows assessment of integration of knowledge within the discipline.</w:t>
      </w:r>
    </w:p>
    <w:p w14:paraId="0107FC1F" w14:textId="292F8BD1" w:rsidR="00E416C3" w:rsidRPr="00E416C3" w:rsidRDefault="00E416C3" w:rsidP="00E416C3">
      <w:pPr>
        <w:rPr>
          <w:sz w:val="24"/>
          <w:szCs w:val="24"/>
        </w:rPr>
      </w:pPr>
      <w:r w:rsidRPr="00E416C3">
        <w:rPr>
          <w:b/>
          <w:sz w:val="24"/>
          <w:szCs w:val="24"/>
        </w:rPr>
        <w:t xml:space="preserve">Result: </w:t>
      </w:r>
      <w:r w:rsidRPr="00E416C3">
        <w:rPr>
          <w:sz w:val="24"/>
          <w:szCs w:val="24"/>
        </w:rPr>
        <w:t xml:space="preserve">The PLO assessments reflected integration of knowledge within the discipline as evidenced by 76.47% </w:t>
      </w:r>
      <w:r w:rsidR="006A4110">
        <w:rPr>
          <w:sz w:val="24"/>
          <w:szCs w:val="24"/>
        </w:rPr>
        <w:t xml:space="preserve">(13) </w:t>
      </w:r>
      <w:r w:rsidRPr="00E416C3">
        <w:rPr>
          <w:sz w:val="24"/>
          <w:szCs w:val="24"/>
        </w:rPr>
        <w:t xml:space="preserve">assessed as “YES” and 23.53% </w:t>
      </w:r>
      <w:r w:rsidR="006A4110">
        <w:rPr>
          <w:sz w:val="24"/>
          <w:szCs w:val="24"/>
        </w:rPr>
        <w:t xml:space="preserve">(4) </w:t>
      </w:r>
      <w:r w:rsidR="00DC2CB1">
        <w:rPr>
          <w:sz w:val="24"/>
          <w:szCs w:val="24"/>
        </w:rPr>
        <w:t>assessed as “NO”, illustrated in the following graph:</w:t>
      </w:r>
    </w:p>
    <w:p w14:paraId="49D3D2A5" w14:textId="0AB1AF16" w:rsidR="004F3E7A" w:rsidRDefault="004F3E7A" w:rsidP="004F3E7A">
      <w:pPr>
        <w:jc w:val="center"/>
        <w:rPr>
          <w:b/>
          <w:sz w:val="24"/>
          <w:szCs w:val="24"/>
        </w:rPr>
      </w:pPr>
      <w:r>
        <w:rPr>
          <w:b/>
          <w:noProof/>
          <w:sz w:val="24"/>
          <w:szCs w:val="24"/>
        </w:rPr>
        <w:lastRenderedPageBreak/>
        <w:drawing>
          <wp:inline distT="0" distB="0" distL="0" distR="0" wp14:anchorId="3B032F51" wp14:editId="6BD08A74">
            <wp:extent cx="5473700" cy="2907611"/>
            <wp:effectExtent l="152400" t="152400" r="355600" b="3695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_5b_COK.png"/>
                    <pic:cNvPicPr/>
                  </pic:nvPicPr>
                  <pic:blipFill>
                    <a:blip r:embed="rId10">
                      <a:extLst>
                        <a:ext uri="{28A0092B-C50C-407E-A947-70E740481C1C}">
                          <a14:useLocalDpi xmlns:a14="http://schemas.microsoft.com/office/drawing/2010/main" val="0"/>
                        </a:ext>
                      </a:extLst>
                    </a:blip>
                    <a:stretch>
                      <a:fillRect/>
                    </a:stretch>
                  </pic:blipFill>
                  <pic:spPr>
                    <a:xfrm>
                      <a:off x="0" y="0"/>
                      <a:ext cx="5480194" cy="2911061"/>
                    </a:xfrm>
                    <a:prstGeom prst="rect">
                      <a:avLst/>
                    </a:prstGeom>
                    <a:ln>
                      <a:noFill/>
                    </a:ln>
                    <a:effectLst>
                      <a:outerShdw blurRad="292100" dist="139700" dir="2700000" algn="tl" rotWithShape="0">
                        <a:srgbClr val="333333">
                          <a:alpha val="65000"/>
                        </a:srgbClr>
                      </a:outerShdw>
                    </a:effectLst>
                  </pic:spPr>
                </pic:pic>
              </a:graphicData>
            </a:graphic>
          </wp:inline>
        </w:drawing>
      </w:r>
    </w:p>
    <w:p w14:paraId="2A5FDD79" w14:textId="2C2B8DD5" w:rsidR="00E416C3" w:rsidRPr="00E416C3" w:rsidRDefault="00E416C3" w:rsidP="00E416C3">
      <w:pPr>
        <w:rPr>
          <w:sz w:val="24"/>
          <w:szCs w:val="24"/>
        </w:rPr>
      </w:pPr>
      <w:r w:rsidRPr="00E416C3">
        <w:rPr>
          <w:b/>
          <w:sz w:val="24"/>
          <w:szCs w:val="24"/>
        </w:rPr>
        <w:t>Question #3</w:t>
      </w:r>
      <w:r w:rsidRPr="00E416C3">
        <w:rPr>
          <w:sz w:val="24"/>
          <w:szCs w:val="24"/>
        </w:rPr>
        <w:t xml:space="preserve"> – </w:t>
      </w:r>
      <w:r w:rsidR="007E19B5">
        <w:rPr>
          <w:sz w:val="24"/>
          <w:szCs w:val="24"/>
        </w:rPr>
        <w:t xml:space="preserve">Application: </w:t>
      </w:r>
      <w:r w:rsidRPr="00E416C3">
        <w:rPr>
          <w:sz w:val="24"/>
          <w:szCs w:val="24"/>
        </w:rPr>
        <w:t>The report reflects assessment of adaption and application of skills, abilities, theories, or methodologies gained in one situation to new situations (check all that apply)</w:t>
      </w:r>
      <w:r w:rsidR="00E2176B">
        <w:rPr>
          <w:sz w:val="24"/>
          <w:szCs w:val="24"/>
        </w:rPr>
        <w:t>.</w:t>
      </w:r>
    </w:p>
    <w:p w14:paraId="3AC024E1" w14:textId="0872DA3C" w:rsidR="00E416C3" w:rsidRPr="00E416C3" w:rsidRDefault="00E416C3" w:rsidP="00E416C3">
      <w:pPr>
        <w:rPr>
          <w:sz w:val="24"/>
          <w:szCs w:val="24"/>
        </w:rPr>
      </w:pPr>
      <w:r w:rsidRPr="00E416C3">
        <w:rPr>
          <w:b/>
          <w:sz w:val="24"/>
          <w:szCs w:val="24"/>
        </w:rPr>
        <w:t>Result:</w:t>
      </w:r>
      <w:r w:rsidRPr="00E416C3">
        <w:rPr>
          <w:sz w:val="24"/>
          <w:szCs w:val="24"/>
        </w:rPr>
        <w:t xml:space="preserve"> The PLO assessments </w:t>
      </w:r>
      <w:r w:rsidR="00B076BA">
        <w:rPr>
          <w:sz w:val="24"/>
          <w:szCs w:val="24"/>
        </w:rPr>
        <w:t>reflected</w:t>
      </w:r>
      <w:r w:rsidRPr="00E416C3">
        <w:rPr>
          <w:sz w:val="24"/>
          <w:szCs w:val="24"/>
        </w:rPr>
        <w:t xml:space="preserve"> </w:t>
      </w:r>
      <w:r w:rsidR="008275D5">
        <w:rPr>
          <w:sz w:val="24"/>
          <w:szCs w:val="24"/>
        </w:rPr>
        <w:t xml:space="preserve">a relatively high level of </w:t>
      </w:r>
      <w:r w:rsidRPr="00E416C3">
        <w:rPr>
          <w:sz w:val="24"/>
          <w:szCs w:val="24"/>
        </w:rPr>
        <w:t xml:space="preserve">application of knowledge in academic and occupational settings, but </w:t>
      </w:r>
      <w:r w:rsidR="008275D5">
        <w:rPr>
          <w:sz w:val="24"/>
          <w:szCs w:val="24"/>
        </w:rPr>
        <w:t xml:space="preserve">a relatively low level of </w:t>
      </w:r>
      <w:r w:rsidRPr="00E416C3">
        <w:rPr>
          <w:sz w:val="24"/>
          <w:szCs w:val="24"/>
        </w:rPr>
        <w:t>application of knowledge in civ</w:t>
      </w:r>
      <w:r w:rsidR="00E70FAC">
        <w:rPr>
          <w:sz w:val="24"/>
          <w:szCs w:val="24"/>
        </w:rPr>
        <w:t>ic or personal life experiences</w:t>
      </w:r>
      <w:r w:rsidR="00E70FAC" w:rsidRPr="00E70FAC">
        <w:rPr>
          <w:sz w:val="24"/>
          <w:szCs w:val="24"/>
        </w:rPr>
        <w:t>, as shown in the graph following the list below.</w:t>
      </w:r>
    </w:p>
    <w:p w14:paraId="78539A5F" w14:textId="77777777" w:rsidR="00E416C3" w:rsidRPr="00E416C3" w:rsidRDefault="00E416C3" w:rsidP="00E416C3">
      <w:pPr>
        <w:pStyle w:val="ListParagraph"/>
        <w:numPr>
          <w:ilvl w:val="0"/>
          <w:numId w:val="6"/>
        </w:numPr>
        <w:spacing w:after="160" w:line="259" w:lineRule="auto"/>
        <w:rPr>
          <w:sz w:val="24"/>
          <w:szCs w:val="24"/>
        </w:rPr>
      </w:pPr>
      <w:r w:rsidRPr="00E416C3">
        <w:rPr>
          <w:sz w:val="24"/>
          <w:szCs w:val="24"/>
        </w:rPr>
        <w:t>Academic (in school) 93.75% (15)</w:t>
      </w:r>
    </w:p>
    <w:p w14:paraId="3A5633BC" w14:textId="77777777" w:rsidR="00E416C3" w:rsidRPr="00E416C3" w:rsidRDefault="00E416C3" w:rsidP="00E416C3">
      <w:pPr>
        <w:pStyle w:val="ListParagraph"/>
        <w:numPr>
          <w:ilvl w:val="0"/>
          <w:numId w:val="6"/>
        </w:numPr>
        <w:spacing w:after="160" w:line="259" w:lineRule="auto"/>
        <w:rPr>
          <w:sz w:val="24"/>
          <w:szCs w:val="24"/>
        </w:rPr>
      </w:pPr>
      <w:r w:rsidRPr="00E416C3">
        <w:rPr>
          <w:sz w:val="24"/>
          <w:szCs w:val="24"/>
        </w:rPr>
        <w:t>Occupational (at work) 81.25% (13)</w:t>
      </w:r>
    </w:p>
    <w:p w14:paraId="1AA0B899" w14:textId="3CC5E297" w:rsidR="00E416C3" w:rsidRDefault="00E416C3" w:rsidP="00E416C3">
      <w:pPr>
        <w:pStyle w:val="ListParagraph"/>
        <w:numPr>
          <w:ilvl w:val="0"/>
          <w:numId w:val="6"/>
        </w:numPr>
        <w:spacing w:after="160" w:line="259" w:lineRule="auto"/>
        <w:rPr>
          <w:sz w:val="24"/>
          <w:szCs w:val="24"/>
        </w:rPr>
      </w:pPr>
      <w:r w:rsidRPr="00E416C3">
        <w:rPr>
          <w:sz w:val="24"/>
          <w:szCs w:val="24"/>
        </w:rPr>
        <w:t>Civic or Personal Life Experience (everything else) 25.08% (4)</w:t>
      </w:r>
    </w:p>
    <w:p w14:paraId="4F14581C" w14:textId="695DE5CD" w:rsidR="00186595" w:rsidRPr="00186595" w:rsidRDefault="00186595" w:rsidP="00186595">
      <w:pPr>
        <w:spacing w:after="160" w:line="259" w:lineRule="auto"/>
        <w:rPr>
          <w:sz w:val="24"/>
          <w:szCs w:val="24"/>
        </w:rPr>
      </w:pPr>
      <w:r>
        <w:rPr>
          <w:noProof/>
          <w:sz w:val="24"/>
          <w:szCs w:val="24"/>
        </w:rPr>
        <w:lastRenderedPageBreak/>
        <w:drawing>
          <wp:inline distT="0" distB="0" distL="0" distR="0" wp14:anchorId="5245DFEF" wp14:editId="3426A1CA">
            <wp:extent cx="5181600" cy="2739716"/>
            <wp:effectExtent l="152400" t="152400" r="361950" b="3657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_6_COK.png"/>
                    <pic:cNvPicPr/>
                  </pic:nvPicPr>
                  <pic:blipFill>
                    <a:blip r:embed="rId11">
                      <a:extLst>
                        <a:ext uri="{28A0092B-C50C-407E-A947-70E740481C1C}">
                          <a14:useLocalDpi xmlns:a14="http://schemas.microsoft.com/office/drawing/2010/main" val="0"/>
                        </a:ext>
                      </a:extLst>
                    </a:blip>
                    <a:stretch>
                      <a:fillRect/>
                    </a:stretch>
                  </pic:blipFill>
                  <pic:spPr>
                    <a:xfrm>
                      <a:off x="0" y="0"/>
                      <a:ext cx="5187587" cy="2742881"/>
                    </a:xfrm>
                    <a:prstGeom prst="rect">
                      <a:avLst/>
                    </a:prstGeom>
                    <a:ln>
                      <a:noFill/>
                    </a:ln>
                    <a:effectLst>
                      <a:outerShdw blurRad="292100" dist="139700" dir="2700000" algn="tl" rotWithShape="0">
                        <a:srgbClr val="333333">
                          <a:alpha val="65000"/>
                        </a:srgbClr>
                      </a:outerShdw>
                    </a:effectLst>
                  </pic:spPr>
                </pic:pic>
              </a:graphicData>
            </a:graphic>
          </wp:inline>
        </w:drawing>
      </w:r>
    </w:p>
    <w:p w14:paraId="1A24E16E" w14:textId="77777777" w:rsidR="00BD74C6" w:rsidRDefault="00BD74C6" w:rsidP="00BD74C6">
      <w:pPr>
        <w:pStyle w:val="Heading1"/>
      </w:pPr>
      <w:r>
        <w:t>Limitations</w:t>
      </w:r>
    </w:p>
    <w:p w14:paraId="58D6486D" w14:textId="6B378462" w:rsidR="00D10D1E" w:rsidRPr="00D10D1E" w:rsidRDefault="00D10D1E" w:rsidP="00B12C06">
      <w:pPr>
        <w:rPr>
          <w:rFonts w:cs="Times New Roman"/>
          <w:sz w:val="24"/>
          <w:szCs w:val="24"/>
        </w:rPr>
      </w:pPr>
      <w:r>
        <w:rPr>
          <w:rFonts w:cs="Times New Roman"/>
          <w:sz w:val="24"/>
          <w:szCs w:val="24"/>
        </w:rPr>
        <w:t xml:space="preserve">There is </w:t>
      </w:r>
      <w:r w:rsidR="0077528D">
        <w:rPr>
          <w:rFonts w:cs="Times New Roman"/>
          <w:sz w:val="24"/>
          <w:szCs w:val="24"/>
        </w:rPr>
        <w:t>a</w:t>
      </w:r>
      <w:r w:rsidR="00334C78">
        <w:rPr>
          <w:rFonts w:cs="Times New Roman"/>
          <w:sz w:val="24"/>
          <w:szCs w:val="24"/>
        </w:rPr>
        <w:t>n</w:t>
      </w:r>
      <w:r>
        <w:rPr>
          <w:rFonts w:cs="Times New Roman"/>
          <w:sz w:val="24"/>
          <w:szCs w:val="24"/>
        </w:rPr>
        <w:t xml:space="preserve"> </w:t>
      </w:r>
      <w:r w:rsidR="00297989">
        <w:rPr>
          <w:rFonts w:cs="Times New Roman"/>
          <w:sz w:val="24"/>
          <w:szCs w:val="24"/>
        </w:rPr>
        <w:t xml:space="preserve">overarching </w:t>
      </w:r>
      <w:r w:rsidR="00F55CC4">
        <w:rPr>
          <w:rFonts w:cs="Times New Roman"/>
          <w:sz w:val="24"/>
          <w:szCs w:val="24"/>
        </w:rPr>
        <w:t xml:space="preserve">systemic </w:t>
      </w:r>
      <w:r w:rsidR="00290C6A">
        <w:rPr>
          <w:rFonts w:cs="Times New Roman"/>
          <w:sz w:val="24"/>
          <w:szCs w:val="24"/>
        </w:rPr>
        <w:t xml:space="preserve">limitation </w:t>
      </w:r>
      <w:r>
        <w:rPr>
          <w:rFonts w:cs="Times New Roman"/>
          <w:sz w:val="24"/>
          <w:szCs w:val="24"/>
        </w:rPr>
        <w:t>across</w:t>
      </w:r>
      <w:r w:rsidR="00290C6A">
        <w:rPr>
          <w:rFonts w:cs="Times New Roman"/>
          <w:sz w:val="24"/>
          <w:szCs w:val="24"/>
        </w:rPr>
        <w:t xml:space="preserve"> the</w:t>
      </w:r>
      <w:r>
        <w:rPr>
          <w:rFonts w:cs="Times New Roman"/>
          <w:sz w:val="24"/>
          <w:szCs w:val="24"/>
        </w:rPr>
        <w:t xml:space="preserve"> </w:t>
      </w:r>
      <w:r w:rsidR="005A4BF0">
        <w:rPr>
          <w:rFonts w:cs="Times New Roman"/>
          <w:sz w:val="24"/>
          <w:szCs w:val="24"/>
        </w:rPr>
        <w:t xml:space="preserve">assessment of </w:t>
      </w:r>
      <w:r w:rsidR="001B0889">
        <w:rPr>
          <w:rFonts w:cs="Times New Roman"/>
          <w:sz w:val="24"/>
          <w:szCs w:val="24"/>
        </w:rPr>
        <w:t xml:space="preserve">DLOs, which </w:t>
      </w:r>
      <w:r w:rsidR="00780D7C">
        <w:rPr>
          <w:rFonts w:cs="Times New Roman"/>
          <w:sz w:val="24"/>
          <w:szCs w:val="24"/>
        </w:rPr>
        <w:t>therefore impact</w:t>
      </w:r>
      <w:r w:rsidR="00BF05B6">
        <w:rPr>
          <w:rFonts w:cs="Times New Roman"/>
          <w:sz w:val="24"/>
          <w:szCs w:val="24"/>
        </w:rPr>
        <w:t>s</w:t>
      </w:r>
      <w:r w:rsidR="00780D7C">
        <w:rPr>
          <w:rFonts w:cs="Times New Roman"/>
          <w:sz w:val="24"/>
          <w:szCs w:val="24"/>
        </w:rPr>
        <w:t xml:space="preserve"> the assessment of the PLOs</w:t>
      </w:r>
      <w:r>
        <w:rPr>
          <w:rFonts w:cs="Times New Roman"/>
          <w:sz w:val="24"/>
          <w:szCs w:val="24"/>
        </w:rPr>
        <w:t>.</w:t>
      </w:r>
      <w:r w:rsidR="001E36A0">
        <w:rPr>
          <w:rFonts w:cs="Times New Roman"/>
          <w:sz w:val="24"/>
          <w:szCs w:val="24"/>
        </w:rPr>
        <w:t xml:space="preserve"> The main issue is a lack of guiding structure. Specifically, </w:t>
      </w:r>
      <w:r w:rsidR="00DC2CB1">
        <w:rPr>
          <w:rFonts w:cs="Times New Roman"/>
          <w:sz w:val="24"/>
          <w:szCs w:val="24"/>
        </w:rPr>
        <w:t xml:space="preserve">more detailed guidance is needed with respect to </w:t>
      </w:r>
      <w:r w:rsidR="001E36A0">
        <w:rPr>
          <w:rFonts w:cs="Times New Roman"/>
          <w:sz w:val="24"/>
          <w:szCs w:val="24"/>
        </w:rPr>
        <w:t xml:space="preserve">what </w:t>
      </w:r>
      <w:r w:rsidR="003A5764">
        <w:rPr>
          <w:rFonts w:cs="Times New Roman"/>
          <w:sz w:val="24"/>
          <w:szCs w:val="24"/>
        </w:rPr>
        <w:t xml:space="preserve">specifically </w:t>
      </w:r>
      <w:r w:rsidR="001E36A0">
        <w:rPr>
          <w:rFonts w:cs="Times New Roman"/>
          <w:sz w:val="24"/>
          <w:szCs w:val="24"/>
        </w:rPr>
        <w:t>should be included in the reports</w:t>
      </w:r>
      <w:r w:rsidR="00E43869">
        <w:rPr>
          <w:rFonts w:cs="Times New Roman"/>
          <w:sz w:val="24"/>
          <w:szCs w:val="24"/>
        </w:rPr>
        <w:t xml:space="preserve"> </w:t>
      </w:r>
      <w:r w:rsidR="00454AE1">
        <w:rPr>
          <w:rFonts w:cs="Times New Roman"/>
          <w:sz w:val="24"/>
          <w:szCs w:val="24"/>
        </w:rPr>
        <w:t xml:space="preserve">and </w:t>
      </w:r>
      <w:r w:rsidR="001E36A0">
        <w:rPr>
          <w:rFonts w:cs="Times New Roman"/>
          <w:sz w:val="24"/>
          <w:szCs w:val="24"/>
        </w:rPr>
        <w:t xml:space="preserve">how data should be </w:t>
      </w:r>
      <w:r w:rsidR="00096BD0">
        <w:rPr>
          <w:rFonts w:cs="Times New Roman"/>
          <w:sz w:val="24"/>
          <w:szCs w:val="24"/>
        </w:rPr>
        <w:t>collected.</w:t>
      </w:r>
      <w:r w:rsidR="007251AB">
        <w:rPr>
          <w:rFonts w:cs="Times New Roman"/>
          <w:sz w:val="24"/>
          <w:szCs w:val="24"/>
        </w:rPr>
        <w:t xml:space="preserve"> For example, </w:t>
      </w:r>
      <w:r w:rsidR="00E43869">
        <w:rPr>
          <w:rFonts w:cs="Times New Roman"/>
          <w:sz w:val="24"/>
          <w:szCs w:val="24"/>
        </w:rPr>
        <w:t xml:space="preserve">this particular DLO task force struggled with starting our project and </w:t>
      </w:r>
      <w:r w:rsidR="00BF05B6">
        <w:rPr>
          <w:rFonts w:cs="Times New Roman"/>
          <w:sz w:val="24"/>
          <w:szCs w:val="24"/>
        </w:rPr>
        <w:t xml:space="preserve">determining </w:t>
      </w:r>
      <w:r w:rsidR="00E43869">
        <w:rPr>
          <w:rFonts w:cs="Times New Roman"/>
          <w:sz w:val="24"/>
          <w:szCs w:val="24"/>
        </w:rPr>
        <w:t>what to include</w:t>
      </w:r>
      <w:r w:rsidR="0017334A">
        <w:rPr>
          <w:rFonts w:cs="Times New Roman"/>
          <w:sz w:val="24"/>
          <w:szCs w:val="24"/>
        </w:rPr>
        <w:t xml:space="preserve">. </w:t>
      </w:r>
      <w:r w:rsidR="0017334A" w:rsidRPr="0017334A">
        <w:rPr>
          <w:rFonts w:cs="Times New Roman"/>
          <w:sz w:val="24"/>
          <w:szCs w:val="24"/>
        </w:rPr>
        <w:t>This lack o</w:t>
      </w:r>
      <w:r w:rsidR="00F877AC">
        <w:rPr>
          <w:rFonts w:cs="Times New Roman"/>
          <w:sz w:val="24"/>
          <w:szCs w:val="24"/>
        </w:rPr>
        <w:t xml:space="preserve">f a guiding structure creates </w:t>
      </w:r>
      <w:bookmarkStart w:id="0" w:name="_GoBack"/>
      <w:bookmarkEnd w:id="0"/>
      <w:r w:rsidR="00007E09">
        <w:rPr>
          <w:rFonts w:cs="Times New Roman"/>
          <w:sz w:val="24"/>
          <w:szCs w:val="24"/>
        </w:rPr>
        <w:t>a lack of consistency</w:t>
      </w:r>
      <w:r w:rsidR="00BF05B6">
        <w:rPr>
          <w:rFonts w:cs="Times New Roman"/>
          <w:sz w:val="24"/>
          <w:szCs w:val="24"/>
        </w:rPr>
        <w:t xml:space="preserve"> among all DLO projects</w:t>
      </w:r>
      <w:r w:rsidR="00E43869">
        <w:rPr>
          <w:rFonts w:cs="Times New Roman"/>
          <w:sz w:val="24"/>
          <w:szCs w:val="24"/>
        </w:rPr>
        <w:t xml:space="preserve">. </w:t>
      </w:r>
      <w:r w:rsidR="00E856B5">
        <w:rPr>
          <w:rFonts w:cs="Times New Roman"/>
          <w:sz w:val="24"/>
          <w:szCs w:val="24"/>
        </w:rPr>
        <w:t>Given that PLOs are not uniformly assessed, DLOs also cannot be uniformly assessed.</w:t>
      </w:r>
    </w:p>
    <w:p w14:paraId="26A085AB" w14:textId="7189F467" w:rsidR="00D10D1E" w:rsidRDefault="00B12C06" w:rsidP="00B12C06">
      <w:pPr>
        <w:rPr>
          <w:rFonts w:eastAsia="Times New Roman" w:cs="Times New Roman"/>
          <w:sz w:val="24"/>
          <w:szCs w:val="24"/>
        </w:rPr>
      </w:pPr>
      <w:r w:rsidRPr="00C4151C">
        <w:rPr>
          <w:rFonts w:eastAsia="Times New Roman" w:cs="Times New Roman"/>
          <w:sz w:val="24"/>
          <w:szCs w:val="24"/>
        </w:rPr>
        <w:t xml:space="preserve">Initially, the task force identified problems </w:t>
      </w:r>
      <w:r w:rsidR="00362CF1">
        <w:rPr>
          <w:rFonts w:eastAsia="Times New Roman" w:cs="Times New Roman"/>
          <w:sz w:val="24"/>
          <w:szCs w:val="24"/>
        </w:rPr>
        <w:t>with assessing</w:t>
      </w:r>
      <w:r w:rsidR="007251AB">
        <w:rPr>
          <w:rFonts w:eastAsia="Times New Roman" w:cs="Times New Roman"/>
          <w:sz w:val="24"/>
          <w:szCs w:val="24"/>
        </w:rPr>
        <w:t xml:space="preserve"> the COK D</w:t>
      </w:r>
      <w:r w:rsidRPr="00C4151C">
        <w:rPr>
          <w:rFonts w:eastAsia="Times New Roman" w:cs="Times New Roman"/>
          <w:sz w:val="24"/>
          <w:szCs w:val="24"/>
        </w:rPr>
        <w:t xml:space="preserve">LO because </w:t>
      </w:r>
      <w:r w:rsidR="00651DA1">
        <w:rPr>
          <w:rFonts w:eastAsia="Times New Roman" w:cs="Times New Roman"/>
          <w:sz w:val="24"/>
          <w:szCs w:val="24"/>
        </w:rPr>
        <w:t xml:space="preserve">it is integrated </w:t>
      </w:r>
      <w:r w:rsidRPr="00C4151C">
        <w:rPr>
          <w:rFonts w:eastAsia="Times New Roman" w:cs="Times New Roman"/>
          <w:sz w:val="24"/>
          <w:szCs w:val="24"/>
        </w:rPr>
        <w:t xml:space="preserve">across all disciplines and it </w:t>
      </w:r>
      <w:r w:rsidR="00651DA1">
        <w:rPr>
          <w:rFonts w:eastAsia="Times New Roman" w:cs="Times New Roman"/>
          <w:sz w:val="24"/>
          <w:szCs w:val="24"/>
        </w:rPr>
        <w:t xml:space="preserve">is </w:t>
      </w:r>
      <w:r w:rsidRPr="00C4151C">
        <w:rPr>
          <w:rFonts w:eastAsia="Times New Roman" w:cs="Times New Roman"/>
          <w:sz w:val="24"/>
          <w:szCs w:val="24"/>
        </w:rPr>
        <w:t xml:space="preserve">already measured within PLOs. The final results </w:t>
      </w:r>
      <w:r w:rsidR="00FD6FEC">
        <w:rPr>
          <w:rFonts w:eastAsia="Times New Roman" w:cs="Times New Roman"/>
          <w:sz w:val="24"/>
          <w:szCs w:val="24"/>
        </w:rPr>
        <w:t xml:space="preserve">of our assessment </w:t>
      </w:r>
      <w:r w:rsidRPr="00C4151C">
        <w:rPr>
          <w:rFonts w:eastAsia="Times New Roman" w:cs="Times New Roman"/>
          <w:sz w:val="24"/>
          <w:szCs w:val="24"/>
        </w:rPr>
        <w:t xml:space="preserve">were further limited because </w:t>
      </w:r>
      <w:r w:rsidR="00BB1E98">
        <w:rPr>
          <w:rFonts w:eastAsia="Times New Roman" w:cs="Times New Roman"/>
          <w:sz w:val="24"/>
          <w:szCs w:val="24"/>
        </w:rPr>
        <w:t>t</w:t>
      </w:r>
      <w:r w:rsidR="00BB1E98" w:rsidRPr="00BB1E98">
        <w:rPr>
          <w:rFonts w:eastAsia="Times New Roman" w:cs="Times New Roman"/>
          <w:sz w:val="24"/>
          <w:szCs w:val="24"/>
        </w:rPr>
        <w:t xml:space="preserve">here were significant variations in the way </w:t>
      </w:r>
      <w:r w:rsidRPr="00C4151C">
        <w:rPr>
          <w:rFonts w:eastAsia="Times New Roman" w:cs="Times New Roman"/>
          <w:sz w:val="24"/>
          <w:szCs w:val="24"/>
        </w:rPr>
        <w:t xml:space="preserve">annual PLO reports were written, </w:t>
      </w:r>
      <w:r w:rsidR="006E289B">
        <w:rPr>
          <w:rFonts w:eastAsia="Times New Roman" w:cs="Times New Roman"/>
          <w:sz w:val="24"/>
          <w:szCs w:val="24"/>
        </w:rPr>
        <w:t xml:space="preserve">the </w:t>
      </w:r>
      <w:r w:rsidRPr="00C4151C">
        <w:rPr>
          <w:rFonts w:eastAsia="Times New Roman" w:cs="Times New Roman"/>
          <w:sz w:val="24"/>
          <w:szCs w:val="24"/>
        </w:rPr>
        <w:t>number of courses evaluated, and th</w:t>
      </w:r>
      <w:r>
        <w:rPr>
          <w:rFonts w:eastAsia="Times New Roman" w:cs="Times New Roman"/>
          <w:sz w:val="24"/>
          <w:szCs w:val="24"/>
        </w:rPr>
        <w:t xml:space="preserve">e year the report was submitted. </w:t>
      </w:r>
      <w:r w:rsidRPr="00C4151C">
        <w:rPr>
          <w:rFonts w:eastAsia="Times New Roman" w:cs="Times New Roman"/>
          <w:sz w:val="24"/>
          <w:szCs w:val="24"/>
        </w:rPr>
        <w:t>Additionally, only one</w:t>
      </w:r>
      <w:r w:rsidR="003A4403">
        <w:rPr>
          <w:rFonts w:eastAsia="Times New Roman" w:cs="Times New Roman"/>
          <w:sz w:val="24"/>
          <w:szCs w:val="24"/>
        </w:rPr>
        <w:t xml:space="preserve"> COK</w:t>
      </w:r>
      <w:r w:rsidRPr="00C4151C">
        <w:rPr>
          <w:rFonts w:eastAsia="Times New Roman" w:cs="Times New Roman"/>
          <w:sz w:val="24"/>
          <w:szCs w:val="24"/>
        </w:rPr>
        <w:t xml:space="preserve"> task force member read each report.</w:t>
      </w:r>
    </w:p>
    <w:p w14:paraId="2A49EA80" w14:textId="70B5EC84" w:rsidR="006F5577" w:rsidRDefault="006F5577" w:rsidP="006F5577">
      <w:pPr>
        <w:pStyle w:val="Heading2"/>
      </w:pPr>
      <w:r>
        <w:t>Composition of the Report</w:t>
      </w:r>
    </w:p>
    <w:p w14:paraId="237E90BE" w14:textId="182EC14C" w:rsidR="00E95D40" w:rsidRDefault="00B12C06" w:rsidP="00B12C06">
      <w:pPr>
        <w:rPr>
          <w:rFonts w:cs="Times New Roman"/>
          <w:sz w:val="24"/>
          <w:szCs w:val="24"/>
        </w:rPr>
      </w:pPr>
      <w:r w:rsidRPr="00C4151C">
        <w:rPr>
          <w:rFonts w:cs="Times New Roman"/>
          <w:sz w:val="24"/>
          <w:szCs w:val="24"/>
        </w:rPr>
        <w:t>Each of the 17 reports w</w:t>
      </w:r>
      <w:r w:rsidR="00986722">
        <w:rPr>
          <w:rFonts w:cs="Times New Roman"/>
          <w:sz w:val="24"/>
          <w:szCs w:val="24"/>
        </w:rPr>
        <w:t>as</w:t>
      </w:r>
      <w:r w:rsidRPr="00C4151C">
        <w:rPr>
          <w:rFonts w:cs="Times New Roman"/>
          <w:sz w:val="24"/>
          <w:szCs w:val="24"/>
        </w:rPr>
        <w:t xml:space="preserve"> written by a different author, whose</w:t>
      </w:r>
      <w:r w:rsidR="00986722">
        <w:rPr>
          <w:rFonts w:cs="Times New Roman"/>
          <w:sz w:val="24"/>
          <w:szCs w:val="24"/>
        </w:rPr>
        <w:t xml:space="preserve"> level of</w:t>
      </w:r>
      <w:r w:rsidRPr="00C4151C">
        <w:rPr>
          <w:rFonts w:cs="Times New Roman"/>
          <w:sz w:val="24"/>
          <w:szCs w:val="24"/>
        </w:rPr>
        <w:t xml:space="preserve"> training and/or experience with assessment was undetermined. Many of the report questions </w:t>
      </w:r>
      <w:r w:rsidR="00A06804">
        <w:rPr>
          <w:rFonts w:cs="Times New Roman"/>
          <w:sz w:val="24"/>
          <w:szCs w:val="24"/>
        </w:rPr>
        <w:t>were subjective and open-ended; also,</w:t>
      </w:r>
      <w:r w:rsidRPr="00C4151C">
        <w:rPr>
          <w:rFonts w:cs="Times New Roman"/>
          <w:sz w:val="24"/>
          <w:szCs w:val="24"/>
        </w:rPr>
        <w:t xml:space="preserve"> the report writer may have lacked instruction and/or background on data collection protocol. This contributed to a lack of standardization across program data results. Further, the report writer may not have received any guidance on how to address all of the elements</w:t>
      </w:r>
      <w:r w:rsidR="00900D29">
        <w:rPr>
          <w:rFonts w:cs="Times New Roman"/>
          <w:sz w:val="24"/>
          <w:szCs w:val="24"/>
        </w:rPr>
        <w:t xml:space="preserve"> of the PLO, especially student</w:t>
      </w:r>
      <w:r w:rsidRPr="00C4151C">
        <w:rPr>
          <w:rFonts w:cs="Times New Roman"/>
          <w:sz w:val="24"/>
          <w:szCs w:val="24"/>
        </w:rPr>
        <w:t>s</w:t>
      </w:r>
      <w:r w:rsidR="00900D29">
        <w:rPr>
          <w:rFonts w:cs="Times New Roman"/>
          <w:sz w:val="24"/>
          <w:szCs w:val="24"/>
        </w:rPr>
        <w:t>’</w:t>
      </w:r>
      <w:r w:rsidRPr="00C4151C">
        <w:rPr>
          <w:rFonts w:cs="Times New Roman"/>
          <w:sz w:val="24"/>
          <w:szCs w:val="24"/>
        </w:rPr>
        <w:t xml:space="preserve"> application of knowledge to civic and personal </w:t>
      </w:r>
      <w:r w:rsidRPr="00C4151C">
        <w:rPr>
          <w:rFonts w:cs="Times New Roman"/>
          <w:sz w:val="24"/>
          <w:szCs w:val="24"/>
        </w:rPr>
        <w:lastRenderedPageBreak/>
        <w:t xml:space="preserve">endeavors. </w:t>
      </w:r>
      <w:r w:rsidR="004E1F52" w:rsidRPr="004E1F52">
        <w:rPr>
          <w:rFonts w:cs="Times New Roman"/>
          <w:sz w:val="24"/>
          <w:szCs w:val="24"/>
        </w:rPr>
        <w:t>Lastly, it was unclear how or whether the information was disseminated within the department or program once the PLO assessment report was completed.</w:t>
      </w:r>
    </w:p>
    <w:p w14:paraId="74A166C8" w14:textId="6EF0FD44" w:rsidR="006F5577" w:rsidRPr="00C4151C" w:rsidRDefault="006F5577" w:rsidP="006F5577">
      <w:pPr>
        <w:pStyle w:val="Heading2"/>
      </w:pPr>
      <w:r>
        <w:t>Number of Courses</w:t>
      </w:r>
    </w:p>
    <w:p w14:paraId="2A02C072" w14:textId="5E7660D3" w:rsidR="00B12C06" w:rsidRPr="00C4151C" w:rsidRDefault="00331823" w:rsidP="00B12C06">
      <w:pPr>
        <w:rPr>
          <w:rFonts w:cs="Times New Roman"/>
          <w:sz w:val="24"/>
          <w:szCs w:val="24"/>
        </w:rPr>
      </w:pPr>
      <w:r w:rsidRPr="00331823">
        <w:rPr>
          <w:rFonts w:cs="Times New Roman"/>
          <w:sz w:val="24"/>
          <w:szCs w:val="24"/>
        </w:rPr>
        <w:t>The number of courses assessed by the 17 programs reviewed, ranged from just 1 course to multiple courses in a given program. This variation in the number of courses assessed by each program could have potentially</w:t>
      </w:r>
      <w:r w:rsidR="00B12C06" w:rsidRPr="00C4151C">
        <w:rPr>
          <w:rFonts w:cs="Times New Roman"/>
          <w:sz w:val="24"/>
          <w:szCs w:val="24"/>
        </w:rPr>
        <w:t xml:space="preserve"> contributed to the low representation of students who were reportedly able to “apply knowledge to civic and personal life experiences</w:t>
      </w:r>
      <w:r w:rsidR="001457EE">
        <w:rPr>
          <w:rFonts w:cs="Times New Roman"/>
          <w:sz w:val="24"/>
          <w:szCs w:val="24"/>
        </w:rPr>
        <w:t>”</w:t>
      </w:r>
      <w:r w:rsidR="00B12C06" w:rsidRPr="00C4151C">
        <w:rPr>
          <w:rFonts w:cs="Times New Roman"/>
          <w:sz w:val="24"/>
          <w:szCs w:val="24"/>
        </w:rPr>
        <w:t xml:space="preserve"> (25%) versus academic (93%) and occupational endeavors (81%) (</w:t>
      </w:r>
      <w:r w:rsidR="00B12C06" w:rsidRPr="00C4151C">
        <w:rPr>
          <w:rFonts w:cs="Times New Roman"/>
          <w:i/>
          <w:sz w:val="24"/>
          <w:szCs w:val="24"/>
        </w:rPr>
        <w:t>COK Assessment Results</w:t>
      </w:r>
      <w:r w:rsidR="00B12C06" w:rsidRPr="00C4151C">
        <w:rPr>
          <w:rFonts w:cs="Times New Roman"/>
          <w:sz w:val="24"/>
          <w:szCs w:val="24"/>
        </w:rPr>
        <w:t xml:space="preserve"> p.10). </w:t>
      </w:r>
    </w:p>
    <w:p w14:paraId="6FDC9239" w14:textId="7BE27A3B" w:rsidR="00B33784" w:rsidRDefault="00B33784" w:rsidP="00B33784">
      <w:pPr>
        <w:pStyle w:val="Heading2"/>
      </w:pPr>
      <w:r>
        <w:t>Year of the Report</w:t>
      </w:r>
    </w:p>
    <w:p w14:paraId="3E390CCE" w14:textId="4413512D" w:rsidR="00D10D1E" w:rsidRDefault="00667476" w:rsidP="00BD74C6">
      <w:pPr>
        <w:rPr>
          <w:rFonts w:cs="Times New Roman"/>
          <w:sz w:val="24"/>
          <w:szCs w:val="24"/>
        </w:rPr>
      </w:pPr>
      <w:r>
        <w:rPr>
          <w:rFonts w:cs="Times New Roman"/>
          <w:sz w:val="24"/>
          <w:szCs w:val="24"/>
        </w:rPr>
        <w:t>Additionally</w:t>
      </w:r>
      <w:r w:rsidR="00B12C06" w:rsidRPr="00C4151C">
        <w:rPr>
          <w:rFonts w:cs="Times New Roman"/>
          <w:sz w:val="24"/>
          <w:szCs w:val="24"/>
        </w:rPr>
        <w:t>, the year that the program review was writ</w:t>
      </w:r>
      <w:r w:rsidR="00F2178B">
        <w:rPr>
          <w:rFonts w:cs="Times New Roman"/>
          <w:sz w:val="24"/>
          <w:szCs w:val="24"/>
        </w:rPr>
        <w:t xml:space="preserve">ten and subsequently submitted </w:t>
      </w:r>
      <w:r w:rsidR="00B12C06" w:rsidRPr="00C4151C">
        <w:rPr>
          <w:rFonts w:cs="Times New Roman"/>
          <w:sz w:val="24"/>
          <w:szCs w:val="24"/>
        </w:rPr>
        <w:t xml:space="preserve">was a major limitation. The reports varied by a span of 4 years </w:t>
      </w:r>
      <w:r w:rsidR="005D351C">
        <w:rPr>
          <w:rFonts w:cs="Times New Roman"/>
          <w:sz w:val="24"/>
          <w:szCs w:val="24"/>
        </w:rPr>
        <w:t>(</w:t>
      </w:r>
      <w:r w:rsidR="00B12C06" w:rsidRPr="00C4151C">
        <w:rPr>
          <w:rFonts w:cs="Times New Roman"/>
          <w:sz w:val="24"/>
          <w:szCs w:val="24"/>
        </w:rPr>
        <w:t>2011-2015</w:t>
      </w:r>
      <w:r w:rsidR="005D351C">
        <w:rPr>
          <w:rFonts w:cs="Times New Roman"/>
          <w:sz w:val="24"/>
          <w:szCs w:val="24"/>
        </w:rPr>
        <w:t>)</w:t>
      </w:r>
      <w:r w:rsidR="00B12C06" w:rsidRPr="00C4151C">
        <w:rPr>
          <w:rFonts w:cs="Times New Roman"/>
          <w:sz w:val="24"/>
          <w:szCs w:val="24"/>
        </w:rPr>
        <w:t xml:space="preserve">, with 53% of the sample generated </w:t>
      </w:r>
      <w:r w:rsidR="005D351C">
        <w:rPr>
          <w:rFonts w:cs="Times New Roman"/>
          <w:sz w:val="24"/>
          <w:szCs w:val="24"/>
        </w:rPr>
        <w:t xml:space="preserve">between </w:t>
      </w:r>
      <w:r w:rsidR="00C8184B">
        <w:rPr>
          <w:rFonts w:cs="Times New Roman"/>
          <w:sz w:val="24"/>
          <w:szCs w:val="24"/>
        </w:rPr>
        <w:t xml:space="preserve">2011 and </w:t>
      </w:r>
      <w:r w:rsidR="00B12C06" w:rsidRPr="00C4151C">
        <w:rPr>
          <w:rFonts w:cs="Times New Roman"/>
          <w:sz w:val="24"/>
          <w:szCs w:val="24"/>
        </w:rPr>
        <w:t>2012. Some programs had already been through quality improvement cycles which resulted in changes in their PLOs. Again, such variability between programs could have contributed to skewed results based on the dichotomous scales of this report.</w:t>
      </w:r>
    </w:p>
    <w:p w14:paraId="77F19A8F" w14:textId="515422D7" w:rsidR="001C6A47" w:rsidRPr="001C6A47" w:rsidRDefault="009139B7" w:rsidP="001C6A47">
      <w:pPr>
        <w:pStyle w:val="Heading1"/>
      </w:pPr>
      <w:r>
        <w:t>R</w:t>
      </w:r>
      <w:r w:rsidR="00131F80">
        <w:t>ecommendations</w:t>
      </w:r>
    </w:p>
    <w:p w14:paraId="048C6671" w14:textId="2912EC62" w:rsidR="00881B21" w:rsidRPr="00E416C3" w:rsidRDefault="00881B21" w:rsidP="00881B21">
      <w:pPr>
        <w:rPr>
          <w:sz w:val="24"/>
          <w:szCs w:val="24"/>
        </w:rPr>
      </w:pPr>
      <w:r w:rsidRPr="00E416C3">
        <w:rPr>
          <w:sz w:val="24"/>
          <w:szCs w:val="24"/>
        </w:rPr>
        <w:t xml:space="preserve">The COK Task Force identified some primary and secondary recommendations.  </w:t>
      </w:r>
    </w:p>
    <w:p w14:paraId="30B9E2DA" w14:textId="1761E04E" w:rsidR="00881B21" w:rsidRPr="00E416C3" w:rsidRDefault="00881B21" w:rsidP="00881B21">
      <w:pPr>
        <w:rPr>
          <w:sz w:val="24"/>
          <w:szCs w:val="24"/>
        </w:rPr>
      </w:pPr>
      <w:r w:rsidRPr="00E416C3">
        <w:rPr>
          <w:sz w:val="24"/>
          <w:szCs w:val="24"/>
        </w:rPr>
        <w:t>The primary recommendation is to consider the COK concept itself and eliminate confusion and redundancy in either of two ways:</w:t>
      </w:r>
    </w:p>
    <w:p w14:paraId="66408C00" w14:textId="5B82D7CC" w:rsidR="00881B21" w:rsidRPr="002432C0" w:rsidRDefault="00881B21" w:rsidP="001172CE">
      <w:pPr>
        <w:pStyle w:val="ListParagraph"/>
        <w:numPr>
          <w:ilvl w:val="0"/>
          <w:numId w:val="8"/>
        </w:numPr>
        <w:spacing w:after="160" w:line="259" w:lineRule="auto"/>
        <w:rPr>
          <w:sz w:val="24"/>
          <w:szCs w:val="24"/>
        </w:rPr>
      </w:pPr>
      <w:r w:rsidRPr="002432C0">
        <w:rPr>
          <w:sz w:val="24"/>
          <w:szCs w:val="24"/>
        </w:rPr>
        <w:t>Refine the verbiage to clarify the de</w:t>
      </w:r>
      <w:r w:rsidR="00AE4BD6" w:rsidRPr="002432C0">
        <w:rPr>
          <w:sz w:val="24"/>
          <w:szCs w:val="24"/>
        </w:rPr>
        <w:t xml:space="preserve">finition of Core of Knowledge. </w:t>
      </w:r>
      <w:r w:rsidRPr="002432C0">
        <w:rPr>
          <w:sz w:val="24"/>
          <w:szCs w:val="24"/>
        </w:rPr>
        <w:t>The inclusion of occupational, civic, and personal endeavors in</w:t>
      </w:r>
      <w:r w:rsidR="00B578D8">
        <w:rPr>
          <w:sz w:val="24"/>
          <w:szCs w:val="24"/>
        </w:rPr>
        <w:t xml:space="preserve"> the definition is problematic.</w:t>
      </w:r>
      <w:r w:rsidR="000B3A65" w:rsidRPr="002432C0">
        <w:rPr>
          <w:sz w:val="24"/>
          <w:szCs w:val="24"/>
        </w:rPr>
        <w:t xml:space="preserve"> Also integration and application are not necessarily included in all PLOs.</w:t>
      </w:r>
    </w:p>
    <w:p w14:paraId="5547CECA" w14:textId="77777777" w:rsidR="00881B21" w:rsidRPr="002432C0" w:rsidRDefault="00881B21" w:rsidP="00881B21">
      <w:pPr>
        <w:pStyle w:val="ListParagraph"/>
        <w:rPr>
          <w:sz w:val="24"/>
          <w:szCs w:val="24"/>
        </w:rPr>
      </w:pPr>
    </w:p>
    <w:p w14:paraId="0C62CB47" w14:textId="78B42FED" w:rsidR="00881B21" w:rsidRPr="002432C0" w:rsidRDefault="00881B21" w:rsidP="00881B21">
      <w:pPr>
        <w:pStyle w:val="ListParagraph"/>
        <w:numPr>
          <w:ilvl w:val="0"/>
          <w:numId w:val="8"/>
        </w:numPr>
        <w:spacing w:after="160" w:line="259" w:lineRule="auto"/>
        <w:rPr>
          <w:sz w:val="24"/>
          <w:szCs w:val="24"/>
        </w:rPr>
      </w:pPr>
      <w:r w:rsidRPr="002432C0">
        <w:rPr>
          <w:sz w:val="24"/>
          <w:szCs w:val="24"/>
        </w:rPr>
        <w:t>Drop COK altogether from the lis</w:t>
      </w:r>
      <w:r w:rsidR="00AE4BD6" w:rsidRPr="002432C0">
        <w:rPr>
          <w:sz w:val="24"/>
          <w:szCs w:val="24"/>
        </w:rPr>
        <w:t xml:space="preserve">t of Degree Learning Outcomes. </w:t>
      </w:r>
      <w:r w:rsidRPr="002432C0">
        <w:rPr>
          <w:sz w:val="24"/>
          <w:szCs w:val="24"/>
        </w:rPr>
        <w:t>Core of knowledge is already inherent in the Program Learning Outcomes</w:t>
      </w:r>
      <w:r w:rsidR="00AE4BD6" w:rsidRPr="002432C0">
        <w:rPr>
          <w:sz w:val="24"/>
          <w:szCs w:val="24"/>
        </w:rPr>
        <w:t xml:space="preserve"> of each department or program, given this fact, stating that “basic k</w:t>
      </w:r>
      <w:r w:rsidR="00CD2E51">
        <w:rPr>
          <w:sz w:val="24"/>
          <w:szCs w:val="24"/>
        </w:rPr>
        <w:t xml:space="preserve">nowledge” is a DLO is </w:t>
      </w:r>
      <w:r w:rsidR="00AE4BD6" w:rsidRPr="002432C0">
        <w:rPr>
          <w:sz w:val="24"/>
          <w:szCs w:val="24"/>
        </w:rPr>
        <w:t xml:space="preserve">redundant. It is also potentially confusing because each program has a distinct knowledge core </w:t>
      </w:r>
      <w:r w:rsidR="00CD2E51">
        <w:rPr>
          <w:sz w:val="24"/>
          <w:szCs w:val="24"/>
        </w:rPr>
        <w:t xml:space="preserve">which is </w:t>
      </w:r>
      <w:r w:rsidR="00AE4BD6" w:rsidRPr="002432C0">
        <w:rPr>
          <w:sz w:val="24"/>
          <w:szCs w:val="24"/>
        </w:rPr>
        <w:t>not shared across the college.</w:t>
      </w:r>
    </w:p>
    <w:p w14:paraId="07A16A1B" w14:textId="4E166663" w:rsidR="00881B21" w:rsidRPr="00E416C3" w:rsidRDefault="00881B21" w:rsidP="00881B21">
      <w:pPr>
        <w:rPr>
          <w:sz w:val="24"/>
          <w:szCs w:val="24"/>
        </w:rPr>
      </w:pPr>
      <w:r w:rsidRPr="00E416C3">
        <w:rPr>
          <w:sz w:val="24"/>
          <w:szCs w:val="24"/>
        </w:rPr>
        <w:t xml:space="preserve">If the decision is made </w:t>
      </w:r>
      <w:r w:rsidR="00F91F4C">
        <w:rPr>
          <w:sz w:val="24"/>
          <w:szCs w:val="24"/>
        </w:rPr>
        <w:t>to keep</w:t>
      </w:r>
      <w:r w:rsidRPr="00E416C3">
        <w:rPr>
          <w:sz w:val="24"/>
          <w:szCs w:val="24"/>
        </w:rPr>
        <w:t xml:space="preserve"> COK </w:t>
      </w:r>
      <w:r w:rsidR="00F91F4C">
        <w:rPr>
          <w:sz w:val="24"/>
          <w:szCs w:val="24"/>
        </w:rPr>
        <w:t>in</w:t>
      </w:r>
      <w:r w:rsidRPr="00E416C3">
        <w:rPr>
          <w:sz w:val="24"/>
          <w:szCs w:val="24"/>
        </w:rPr>
        <w:t xml:space="preserve"> the list of DLOs, the COK Task Force recommends that the following changes be </w:t>
      </w:r>
      <w:r w:rsidR="00F91F4C">
        <w:rPr>
          <w:sz w:val="24"/>
          <w:szCs w:val="24"/>
        </w:rPr>
        <w:t>made to the PLO assessment</w:t>
      </w:r>
      <w:r w:rsidR="00EF6750">
        <w:rPr>
          <w:sz w:val="24"/>
          <w:szCs w:val="24"/>
        </w:rPr>
        <w:t xml:space="preserve"> process</w:t>
      </w:r>
      <w:r w:rsidR="00B87762">
        <w:rPr>
          <w:sz w:val="24"/>
          <w:szCs w:val="24"/>
        </w:rPr>
        <w:t>:</w:t>
      </w:r>
    </w:p>
    <w:p w14:paraId="567038E4" w14:textId="709BB279" w:rsidR="00881B21" w:rsidRPr="00E416C3" w:rsidRDefault="00881B21" w:rsidP="00881B21">
      <w:pPr>
        <w:pStyle w:val="ListParagraph"/>
        <w:numPr>
          <w:ilvl w:val="0"/>
          <w:numId w:val="4"/>
        </w:numPr>
        <w:spacing w:after="0" w:line="240" w:lineRule="auto"/>
        <w:rPr>
          <w:sz w:val="24"/>
          <w:szCs w:val="24"/>
        </w:rPr>
      </w:pPr>
      <w:r w:rsidRPr="00E416C3">
        <w:rPr>
          <w:sz w:val="24"/>
          <w:szCs w:val="24"/>
        </w:rPr>
        <w:t xml:space="preserve">Refine the PLO </w:t>
      </w:r>
      <w:r w:rsidR="00A745F8">
        <w:rPr>
          <w:sz w:val="24"/>
          <w:szCs w:val="24"/>
        </w:rPr>
        <w:t xml:space="preserve">assessment </w:t>
      </w:r>
      <w:r w:rsidRPr="00E416C3">
        <w:rPr>
          <w:sz w:val="24"/>
          <w:szCs w:val="24"/>
        </w:rPr>
        <w:t xml:space="preserve">report form and the instructions for completing the form so that they offer better guidance as to what should be documented, how to document it, and how to structure the report.  </w:t>
      </w:r>
    </w:p>
    <w:p w14:paraId="2A436DAD" w14:textId="77777777" w:rsidR="00881B21" w:rsidRPr="00E416C3" w:rsidRDefault="00881B21" w:rsidP="00881B21">
      <w:pPr>
        <w:rPr>
          <w:sz w:val="24"/>
          <w:szCs w:val="24"/>
        </w:rPr>
      </w:pPr>
    </w:p>
    <w:p w14:paraId="54A7BD74" w14:textId="77777777" w:rsidR="00983A42" w:rsidRPr="00983A42" w:rsidRDefault="00983A42" w:rsidP="00983A42">
      <w:pPr>
        <w:pStyle w:val="ListParagraph"/>
        <w:numPr>
          <w:ilvl w:val="0"/>
          <w:numId w:val="4"/>
        </w:numPr>
        <w:spacing w:after="0" w:line="240" w:lineRule="auto"/>
        <w:rPr>
          <w:sz w:val="24"/>
          <w:szCs w:val="24"/>
        </w:rPr>
      </w:pPr>
      <w:r w:rsidRPr="00983A42">
        <w:rPr>
          <w:sz w:val="24"/>
          <w:szCs w:val="24"/>
        </w:rPr>
        <w:lastRenderedPageBreak/>
        <w:t xml:space="preserve">Provide feedback to each program chair and to the actual writer of each PLO assessment report. This will help departments/programs to ensure that they are designing assessment projects around measurable outcomes. </w:t>
      </w:r>
    </w:p>
    <w:p w14:paraId="20795F52" w14:textId="77777777" w:rsidR="00524AC9" w:rsidRPr="00524AC9" w:rsidRDefault="00524AC9" w:rsidP="00524AC9">
      <w:pPr>
        <w:pStyle w:val="ListParagraph"/>
        <w:spacing w:after="0" w:line="240" w:lineRule="auto"/>
        <w:rPr>
          <w:sz w:val="24"/>
          <w:szCs w:val="24"/>
        </w:rPr>
      </w:pPr>
    </w:p>
    <w:p w14:paraId="1B7FC0F8" w14:textId="2E08694F" w:rsidR="00881B21" w:rsidRDefault="00881B21" w:rsidP="00881B21">
      <w:pPr>
        <w:pStyle w:val="ListParagraph"/>
        <w:numPr>
          <w:ilvl w:val="0"/>
          <w:numId w:val="4"/>
        </w:numPr>
        <w:spacing w:after="0" w:line="240" w:lineRule="auto"/>
        <w:rPr>
          <w:sz w:val="24"/>
          <w:szCs w:val="24"/>
        </w:rPr>
      </w:pPr>
      <w:r w:rsidRPr="00E416C3">
        <w:rPr>
          <w:sz w:val="24"/>
          <w:szCs w:val="24"/>
        </w:rPr>
        <w:t xml:space="preserve">Provide a model/example of an exemplary report as guidance for those in charge of their department’s PLO </w:t>
      </w:r>
      <w:r w:rsidR="00C558F6">
        <w:rPr>
          <w:sz w:val="24"/>
          <w:szCs w:val="24"/>
        </w:rPr>
        <w:t xml:space="preserve">assessment </w:t>
      </w:r>
      <w:r w:rsidRPr="00E416C3">
        <w:rPr>
          <w:sz w:val="24"/>
          <w:szCs w:val="24"/>
        </w:rPr>
        <w:t>project and report.</w:t>
      </w:r>
    </w:p>
    <w:p w14:paraId="15525835" w14:textId="77777777" w:rsidR="00A56A23" w:rsidRDefault="00A56A23" w:rsidP="00A56A23">
      <w:pPr>
        <w:spacing w:after="0" w:line="240" w:lineRule="auto"/>
        <w:rPr>
          <w:sz w:val="24"/>
          <w:szCs w:val="24"/>
        </w:rPr>
      </w:pPr>
    </w:p>
    <w:p w14:paraId="55323FA6" w14:textId="415DA625" w:rsidR="008409EC" w:rsidRPr="006113B9" w:rsidRDefault="008409EC" w:rsidP="006113B9">
      <w:pPr>
        <w:pStyle w:val="Heading2"/>
      </w:pPr>
      <w:r>
        <w:t>Recommendation to Administration</w:t>
      </w:r>
    </w:p>
    <w:p w14:paraId="565B1822" w14:textId="04C9C1B7" w:rsidR="00BD74C6" w:rsidRPr="00E416C3" w:rsidRDefault="00A655CC" w:rsidP="00BA0C28">
      <w:pPr>
        <w:spacing w:after="0" w:line="240" w:lineRule="auto"/>
        <w:rPr>
          <w:sz w:val="24"/>
          <w:szCs w:val="24"/>
        </w:rPr>
      </w:pPr>
      <w:r>
        <w:rPr>
          <w:sz w:val="24"/>
          <w:szCs w:val="24"/>
        </w:rPr>
        <w:t>Provid</w:t>
      </w:r>
      <w:r w:rsidR="00801498">
        <w:rPr>
          <w:sz w:val="24"/>
          <w:szCs w:val="24"/>
        </w:rPr>
        <w:t>ing</w:t>
      </w:r>
      <w:r>
        <w:rPr>
          <w:sz w:val="24"/>
          <w:szCs w:val="24"/>
        </w:rPr>
        <w:t xml:space="preserve"> clear guidelines and a standard process for approaching </w:t>
      </w:r>
      <w:r w:rsidR="000E5D4F">
        <w:rPr>
          <w:sz w:val="24"/>
          <w:szCs w:val="24"/>
        </w:rPr>
        <w:t xml:space="preserve">the assessment of DLOs would enable task forces to evaluate </w:t>
      </w:r>
      <w:r w:rsidR="00DE1135">
        <w:rPr>
          <w:sz w:val="24"/>
          <w:szCs w:val="24"/>
        </w:rPr>
        <w:t>DLO assessment</w:t>
      </w:r>
      <w:r w:rsidR="000E5D4F">
        <w:rPr>
          <w:sz w:val="24"/>
          <w:szCs w:val="24"/>
        </w:rPr>
        <w:t xml:space="preserve"> more efficiently and effectively</w:t>
      </w:r>
      <w:r w:rsidR="00EC7DB6">
        <w:rPr>
          <w:sz w:val="24"/>
          <w:szCs w:val="24"/>
        </w:rPr>
        <w:t xml:space="preserve"> and ensure that the evaluation process is data driven</w:t>
      </w:r>
      <w:r w:rsidR="000E5D4F">
        <w:rPr>
          <w:sz w:val="24"/>
          <w:szCs w:val="24"/>
        </w:rPr>
        <w:t>.</w:t>
      </w:r>
      <w:r w:rsidR="00ED40A8">
        <w:rPr>
          <w:sz w:val="24"/>
          <w:szCs w:val="24"/>
        </w:rPr>
        <w:t xml:space="preserve"> PLO assessment project</w:t>
      </w:r>
      <w:r w:rsidR="00C56B78">
        <w:rPr>
          <w:sz w:val="24"/>
          <w:szCs w:val="24"/>
        </w:rPr>
        <w:t>s</w:t>
      </w:r>
      <w:r w:rsidR="00983A42">
        <w:rPr>
          <w:sz w:val="24"/>
          <w:szCs w:val="24"/>
        </w:rPr>
        <w:t xml:space="preserve"> also</w:t>
      </w:r>
      <w:r w:rsidR="00ED40A8">
        <w:rPr>
          <w:sz w:val="24"/>
          <w:szCs w:val="24"/>
        </w:rPr>
        <w:t xml:space="preserve"> could use this same </w:t>
      </w:r>
      <w:r w:rsidR="0072582A">
        <w:rPr>
          <w:sz w:val="24"/>
          <w:szCs w:val="24"/>
        </w:rPr>
        <w:t xml:space="preserve">type of </w:t>
      </w:r>
      <w:r w:rsidR="00ED40A8">
        <w:rPr>
          <w:sz w:val="24"/>
          <w:szCs w:val="24"/>
        </w:rPr>
        <w:t>guidance.</w:t>
      </w:r>
    </w:p>
    <w:sectPr w:rsidR="00BD74C6" w:rsidRPr="00E416C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482C9" w14:textId="77777777" w:rsidR="00282270" w:rsidRDefault="00282270" w:rsidP="00282270">
      <w:pPr>
        <w:spacing w:after="0" w:line="240" w:lineRule="auto"/>
      </w:pPr>
      <w:r>
        <w:separator/>
      </w:r>
    </w:p>
  </w:endnote>
  <w:endnote w:type="continuationSeparator" w:id="0">
    <w:p w14:paraId="421908D9" w14:textId="77777777" w:rsidR="00282270" w:rsidRDefault="00282270" w:rsidP="0028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2389"/>
      <w:docPartObj>
        <w:docPartGallery w:val="Page Numbers (Bottom of Page)"/>
        <w:docPartUnique/>
      </w:docPartObj>
    </w:sdtPr>
    <w:sdtEndPr>
      <w:rPr>
        <w:noProof/>
      </w:rPr>
    </w:sdtEndPr>
    <w:sdtContent>
      <w:p w14:paraId="59083E8F" w14:textId="4E64592A" w:rsidR="00282270" w:rsidRDefault="00282270">
        <w:pPr>
          <w:pStyle w:val="Footer"/>
          <w:jc w:val="right"/>
        </w:pPr>
        <w:r>
          <w:fldChar w:fldCharType="begin"/>
        </w:r>
        <w:r>
          <w:instrText xml:space="preserve"> PAGE   \* MERGEFORMAT </w:instrText>
        </w:r>
        <w:r>
          <w:fldChar w:fldCharType="separate"/>
        </w:r>
        <w:r w:rsidR="00F877AC">
          <w:rPr>
            <w:noProof/>
          </w:rPr>
          <w:t>8</w:t>
        </w:r>
        <w:r>
          <w:rPr>
            <w:noProof/>
          </w:rPr>
          <w:fldChar w:fldCharType="end"/>
        </w:r>
      </w:p>
    </w:sdtContent>
  </w:sdt>
  <w:p w14:paraId="1A0F93AC" w14:textId="77777777" w:rsidR="00282270" w:rsidRDefault="00282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85B9E" w14:textId="77777777" w:rsidR="00282270" w:rsidRDefault="00282270" w:rsidP="00282270">
      <w:pPr>
        <w:spacing w:after="0" w:line="240" w:lineRule="auto"/>
      </w:pPr>
      <w:r>
        <w:separator/>
      </w:r>
    </w:p>
  </w:footnote>
  <w:footnote w:type="continuationSeparator" w:id="0">
    <w:p w14:paraId="0A7212B4" w14:textId="77777777" w:rsidR="00282270" w:rsidRDefault="00282270" w:rsidP="00282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2359"/>
    <w:multiLevelType w:val="hybridMultilevel"/>
    <w:tmpl w:val="84B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F4B56"/>
    <w:multiLevelType w:val="hybridMultilevel"/>
    <w:tmpl w:val="A6A0C8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A31B1"/>
    <w:multiLevelType w:val="hybridMultilevel"/>
    <w:tmpl w:val="44F28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1205E"/>
    <w:multiLevelType w:val="hybridMultilevel"/>
    <w:tmpl w:val="C8BC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36588"/>
    <w:multiLevelType w:val="hybridMultilevel"/>
    <w:tmpl w:val="43E6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B5F03"/>
    <w:multiLevelType w:val="hybridMultilevel"/>
    <w:tmpl w:val="9788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F5A4C"/>
    <w:multiLevelType w:val="hybridMultilevel"/>
    <w:tmpl w:val="BB6CA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7673F0"/>
    <w:multiLevelType w:val="hybridMultilevel"/>
    <w:tmpl w:val="190E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45"/>
    <w:rsid w:val="00007E09"/>
    <w:rsid w:val="00021DB9"/>
    <w:rsid w:val="00055646"/>
    <w:rsid w:val="000808DB"/>
    <w:rsid w:val="00082DB8"/>
    <w:rsid w:val="00096BD0"/>
    <w:rsid w:val="000B0C81"/>
    <w:rsid w:val="000B3A65"/>
    <w:rsid w:val="000C2B5B"/>
    <w:rsid w:val="000E5D4F"/>
    <w:rsid w:val="000F0319"/>
    <w:rsid w:val="000F53F9"/>
    <w:rsid w:val="00101DF9"/>
    <w:rsid w:val="00112AE7"/>
    <w:rsid w:val="001172CE"/>
    <w:rsid w:val="001209AF"/>
    <w:rsid w:val="00131F80"/>
    <w:rsid w:val="001457EE"/>
    <w:rsid w:val="00147D2F"/>
    <w:rsid w:val="00154E9C"/>
    <w:rsid w:val="0017334A"/>
    <w:rsid w:val="00177E3A"/>
    <w:rsid w:val="001809DF"/>
    <w:rsid w:val="00186595"/>
    <w:rsid w:val="00186A4A"/>
    <w:rsid w:val="001B0889"/>
    <w:rsid w:val="001B10B9"/>
    <w:rsid w:val="001C275B"/>
    <w:rsid w:val="001C6A47"/>
    <w:rsid w:val="001D420E"/>
    <w:rsid w:val="001E273F"/>
    <w:rsid w:val="001E36A0"/>
    <w:rsid w:val="001E385D"/>
    <w:rsid w:val="001F0CE1"/>
    <w:rsid w:val="00206139"/>
    <w:rsid w:val="002362BA"/>
    <w:rsid w:val="002411C0"/>
    <w:rsid w:val="002432C0"/>
    <w:rsid w:val="00275107"/>
    <w:rsid w:val="00282270"/>
    <w:rsid w:val="00290C6A"/>
    <w:rsid w:val="00297989"/>
    <w:rsid w:val="002A479E"/>
    <w:rsid w:val="002A784F"/>
    <w:rsid w:val="002B17C2"/>
    <w:rsid w:val="002B3A53"/>
    <w:rsid w:val="002C114B"/>
    <w:rsid w:val="002C4E57"/>
    <w:rsid w:val="002C6117"/>
    <w:rsid w:val="002D1414"/>
    <w:rsid w:val="002E38CA"/>
    <w:rsid w:val="002F4E01"/>
    <w:rsid w:val="00300320"/>
    <w:rsid w:val="00324660"/>
    <w:rsid w:val="00331823"/>
    <w:rsid w:val="0033313C"/>
    <w:rsid w:val="00334C78"/>
    <w:rsid w:val="003438F5"/>
    <w:rsid w:val="003554AB"/>
    <w:rsid w:val="00362CF1"/>
    <w:rsid w:val="003A4403"/>
    <w:rsid w:val="003A5764"/>
    <w:rsid w:val="003B7873"/>
    <w:rsid w:val="003E755F"/>
    <w:rsid w:val="004041A2"/>
    <w:rsid w:val="00446D35"/>
    <w:rsid w:val="00454AE1"/>
    <w:rsid w:val="00454FC0"/>
    <w:rsid w:val="00463905"/>
    <w:rsid w:val="00465B31"/>
    <w:rsid w:val="004774D3"/>
    <w:rsid w:val="00480CEE"/>
    <w:rsid w:val="004A53B8"/>
    <w:rsid w:val="004E1F52"/>
    <w:rsid w:val="004E4664"/>
    <w:rsid w:val="004F28EA"/>
    <w:rsid w:val="004F3E7A"/>
    <w:rsid w:val="00504F48"/>
    <w:rsid w:val="00515D44"/>
    <w:rsid w:val="00524AC9"/>
    <w:rsid w:val="005456FB"/>
    <w:rsid w:val="00545F07"/>
    <w:rsid w:val="00571D4A"/>
    <w:rsid w:val="00577AC0"/>
    <w:rsid w:val="00585B6D"/>
    <w:rsid w:val="005A2C12"/>
    <w:rsid w:val="005A4BF0"/>
    <w:rsid w:val="005A7CD6"/>
    <w:rsid w:val="005C1DEC"/>
    <w:rsid w:val="005D351C"/>
    <w:rsid w:val="005F0324"/>
    <w:rsid w:val="005F4BA9"/>
    <w:rsid w:val="006113B9"/>
    <w:rsid w:val="00636992"/>
    <w:rsid w:val="006516FC"/>
    <w:rsid w:val="00651DA1"/>
    <w:rsid w:val="006670CF"/>
    <w:rsid w:val="00667476"/>
    <w:rsid w:val="00670648"/>
    <w:rsid w:val="006727EF"/>
    <w:rsid w:val="0067639E"/>
    <w:rsid w:val="00677AA9"/>
    <w:rsid w:val="00680CF0"/>
    <w:rsid w:val="00691615"/>
    <w:rsid w:val="00693C71"/>
    <w:rsid w:val="006A4110"/>
    <w:rsid w:val="006C313A"/>
    <w:rsid w:val="006E289B"/>
    <w:rsid w:val="006F5577"/>
    <w:rsid w:val="007251AB"/>
    <w:rsid w:val="0072582A"/>
    <w:rsid w:val="00731919"/>
    <w:rsid w:val="007423AB"/>
    <w:rsid w:val="0077528D"/>
    <w:rsid w:val="00775520"/>
    <w:rsid w:val="00776EFA"/>
    <w:rsid w:val="00780D7C"/>
    <w:rsid w:val="0078676C"/>
    <w:rsid w:val="007870AF"/>
    <w:rsid w:val="00796996"/>
    <w:rsid w:val="007972E2"/>
    <w:rsid w:val="007B0BF4"/>
    <w:rsid w:val="007B25FA"/>
    <w:rsid w:val="007C4873"/>
    <w:rsid w:val="007C4F3F"/>
    <w:rsid w:val="007E19B5"/>
    <w:rsid w:val="00801498"/>
    <w:rsid w:val="008275D5"/>
    <w:rsid w:val="00833B11"/>
    <w:rsid w:val="008409EC"/>
    <w:rsid w:val="00843807"/>
    <w:rsid w:val="00843ABB"/>
    <w:rsid w:val="00845CD7"/>
    <w:rsid w:val="008608ED"/>
    <w:rsid w:val="00871612"/>
    <w:rsid w:val="00881B21"/>
    <w:rsid w:val="008A1DFE"/>
    <w:rsid w:val="008A7DD9"/>
    <w:rsid w:val="008B6597"/>
    <w:rsid w:val="00900D29"/>
    <w:rsid w:val="00910795"/>
    <w:rsid w:val="009139B7"/>
    <w:rsid w:val="00914224"/>
    <w:rsid w:val="00924053"/>
    <w:rsid w:val="00935678"/>
    <w:rsid w:val="00950C60"/>
    <w:rsid w:val="00963BAC"/>
    <w:rsid w:val="00973965"/>
    <w:rsid w:val="00983A42"/>
    <w:rsid w:val="00985009"/>
    <w:rsid w:val="00986722"/>
    <w:rsid w:val="009A4A70"/>
    <w:rsid w:val="009D0AAF"/>
    <w:rsid w:val="009E67B9"/>
    <w:rsid w:val="009E67D5"/>
    <w:rsid w:val="009F7C61"/>
    <w:rsid w:val="00A06804"/>
    <w:rsid w:val="00A11E36"/>
    <w:rsid w:val="00A23A95"/>
    <w:rsid w:val="00A43E53"/>
    <w:rsid w:val="00A528E5"/>
    <w:rsid w:val="00A56A23"/>
    <w:rsid w:val="00A652A4"/>
    <w:rsid w:val="00A655CC"/>
    <w:rsid w:val="00A723BF"/>
    <w:rsid w:val="00A745F8"/>
    <w:rsid w:val="00A7729C"/>
    <w:rsid w:val="00A8523E"/>
    <w:rsid w:val="00A972DD"/>
    <w:rsid w:val="00AE4BD6"/>
    <w:rsid w:val="00B056DE"/>
    <w:rsid w:val="00B076BA"/>
    <w:rsid w:val="00B12C06"/>
    <w:rsid w:val="00B31B67"/>
    <w:rsid w:val="00B33784"/>
    <w:rsid w:val="00B40E86"/>
    <w:rsid w:val="00B4659D"/>
    <w:rsid w:val="00B578D8"/>
    <w:rsid w:val="00B62B10"/>
    <w:rsid w:val="00B7052D"/>
    <w:rsid w:val="00B72BE9"/>
    <w:rsid w:val="00B84917"/>
    <w:rsid w:val="00B87762"/>
    <w:rsid w:val="00BA0C28"/>
    <w:rsid w:val="00BB1E98"/>
    <w:rsid w:val="00BC71A3"/>
    <w:rsid w:val="00BD552C"/>
    <w:rsid w:val="00BD74C6"/>
    <w:rsid w:val="00BE22D1"/>
    <w:rsid w:val="00BE6EFE"/>
    <w:rsid w:val="00BF05B6"/>
    <w:rsid w:val="00C00B01"/>
    <w:rsid w:val="00C067E8"/>
    <w:rsid w:val="00C07624"/>
    <w:rsid w:val="00C16626"/>
    <w:rsid w:val="00C31FD3"/>
    <w:rsid w:val="00C32468"/>
    <w:rsid w:val="00C34846"/>
    <w:rsid w:val="00C4151C"/>
    <w:rsid w:val="00C45E29"/>
    <w:rsid w:val="00C558F6"/>
    <w:rsid w:val="00C56B78"/>
    <w:rsid w:val="00C8184B"/>
    <w:rsid w:val="00CC2837"/>
    <w:rsid w:val="00CC3ACE"/>
    <w:rsid w:val="00CC7009"/>
    <w:rsid w:val="00CD0A45"/>
    <w:rsid w:val="00CD2E51"/>
    <w:rsid w:val="00CE783E"/>
    <w:rsid w:val="00CF5A4E"/>
    <w:rsid w:val="00D10D1E"/>
    <w:rsid w:val="00D27437"/>
    <w:rsid w:val="00D2746A"/>
    <w:rsid w:val="00D416FD"/>
    <w:rsid w:val="00D57B34"/>
    <w:rsid w:val="00D62AB5"/>
    <w:rsid w:val="00D77F6C"/>
    <w:rsid w:val="00D80D62"/>
    <w:rsid w:val="00D90DA9"/>
    <w:rsid w:val="00D97EC8"/>
    <w:rsid w:val="00DB2F53"/>
    <w:rsid w:val="00DB3BFF"/>
    <w:rsid w:val="00DB4449"/>
    <w:rsid w:val="00DC2CB1"/>
    <w:rsid w:val="00DC2E66"/>
    <w:rsid w:val="00DC455A"/>
    <w:rsid w:val="00DD2289"/>
    <w:rsid w:val="00DE1135"/>
    <w:rsid w:val="00DE19DC"/>
    <w:rsid w:val="00DE25C5"/>
    <w:rsid w:val="00DE5AF6"/>
    <w:rsid w:val="00DF384C"/>
    <w:rsid w:val="00E07080"/>
    <w:rsid w:val="00E2176B"/>
    <w:rsid w:val="00E35330"/>
    <w:rsid w:val="00E406EF"/>
    <w:rsid w:val="00E416C3"/>
    <w:rsid w:val="00E43869"/>
    <w:rsid w:val="00E5374E"/>
    <w:rsid w:val="00E541E8"/>
    <w:rsid w:val="00E651E1"/>
    <w:rsid w:val="00E70FAC"/>
    <w:rsid w:val="00E856B5"/>
    <w:rsid w:val="00E913A0"/>
    <w:rsid w:val="00E9444F"/>
    <w:rsid w:val="00E95D40"/>
    <w:rsid w:val="00EB05E0"/>
    <w:rsid w:val="00EB0AF8"/>
    <w:rsid w:val="00EB3D33"/>
    <w:rsid w:val="00EC7DB6"/>
    <w:rsid w:val="00ED40A8"/>
    <w:rsid w:val="00EF6750"/>
    <w:rsid w:val="00F0444F"/>
    <w:rsid w:val="00F17320"/>
    <w:rsid w:val="00F2178B"/>
    <w:rsid w:val="00F324F9"/>
    <w:rsid w:val="00F36245"/>
    <w:rsid w:val="00F55CC4"/>
    <w:rsid w:val="00F877AC"/>
    <w:rsid w:val="00F91F4C"/>
    <w:rsid w:val="00F96D09"/>
    <w:rsid w:val="00FB1422"/>
    <w:rsid w:val="00FB3A77"/>
    <w:rsid w:val="00FD6FEC"/>
    <w:rsid w:val="00FE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6291"/>
  <w15:chartTrackingRefBased/>
  <w15:docId w15:val="{6BB40A09-33A9-4405-864A-3F625601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4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416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362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74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4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D74C6"/>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4151C"/>
    <w:rPr>
      <w:sz w:val="16"/>
      <w:szCs w:val="16"/>
    </w:rPr>
  </w:style>
  <w:style w:type="paragraph" w:styleId="CommentText">
    <w:name w:val="annotation text"/>
    <w:basedOn w:val="Normal"/>
    <w:link w:val="CommentTextChar"/>
    <w:uiPriority w:val="99"/>
    <w:semiHidden/>
    <w:unhideWhenUsed/>
    <w:rsid w:val="00C4151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4151C"/>
    <w:rPr>
      <w:sz w:val="20"/>
      <w:szCs w:val="20"/>
    </w:rPr>
  </w:style>
  <w:style w:type="paragraph" w:styleId="BalloonText">
    <w:name w:val="Balloon Text"/>
    <w:basedOn w:val="Normal"/>
    <w:link w:val="BalloonTextChar"/>
    <w:uiPriority w:val="99"/>
    <w:semiHidden/>
    <w:unhideWhenUsed/>
    <w:rsid w:val="00C41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1C"/>
    <w:rPr>
      <w:rFonts w:ascii="Segoe UI" w:hAnsi="Segoe UI" w:cs="Segoe UI"/>
      <w:sz w:val="18"/>
      <w:szCs w:val="18"/>
    </w:rPr>
  </w:style>
  <w:style w:type="paragraph" w:styleId="ListParagraph">
    <w:name w:val="List Paragraph"/>
    <w:basedOn w:val="Normal"/>
    <w:uiPriority w:val="34"/>
    <w:qFormat/>
    <w:rsid w:val="008A1DFE"/>
    <w:pPr>
      <w:ind w:left="720"/>
      <w:contextualSpacing/>
    </w:pPr>
  </w:style>
  <w:style w:type="character" w:customStyle="1" w:styleId="Heading2Char">
    <w:name w:val="Heading 2 Char"/>
    <w:basedOn w:val="DefaultParagraphFont"/>
    <w:link w:val="Heading2"/>
    <w:uiPriority w:val="9"/>
    <w:rsid w:val="00E416C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3624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282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270"/>
  </w:style>
  <w:style w:type="paragraph" w:styleId="Footer">
    <w:name w:val="footer"/>
    <w:basedOn w:val="Normal"/>
    <w:link w:val="FooterChar"/>
    <w:uiPriority w:val="99"/>
    <w:unhideWhenUsed/>
    <w:rsid w:val="00282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270"/>
  </w:style>
  <w:style w:type="paragraph" w:styleId="CommentSubject">
    <w:name w:val="annotation subject"/>
    <w:basedOn w:val="CommentText"/>
    <w:next w:val="CommentText"/>
    <w:link w:val="CommentSubjectChar"/>
    <w:uiPriority w:val="99"/>
    <w:semiHidden/>
    <w:unhideWhenUsed/>
    <w:rsid w:val="00DC2CB1"/>
    <w:pPr>
      <w:spacing w:after="200"/>
    </w:pPr>
    <w:rPr>
      <w:b/>
      <w:bCs/>
    </w:rPr>
  </w:style>
  <w:style w:type="character" w:customStyle="1" w:styleId="CommentSubjectChar">
    <w:name w:val="Comment Subject Char"/>
    <w:basedOn w:val="CommentTextChar"/>
    <w:link w:val="CommentSubject"/>
    <w:uiPriority w:val="99"/>
    <w:semiHidden/>
    <w:rsid w:val="00DC2C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F61B-C632-46AB-A178-45DC2E17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Gillanders, Heather</dc:creator>
  <cp:keywords/>
  <dc:description/>
  <cp:lastModifiedBy>Gillanders, Heather</cp:lastModifiedBy>
  <cp:revision>39</cp:revision>
  <dcterms:created xsi:type="dcterms:W3CDTF">2016-07-19T20:50:00Z</dcterms:created>
  <dcterms:modified xsi:type="dcterms:W3CDTF">2016-07-27T18:59:00Z</dcterms:modified>
</cp:coreProperties>
</file>