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6BE96" w14:textId="77777777" w:rsidR="00482802" w:rsidRPr="00031603" w:rsidRDefault="534D132E" w:rsidP="0077335E">
      <w:pPr>
        <w:pStyle w:val="Title"/>
        <w:rPr>
          <w:rFonts w:ascii="Calibri" w:eastAsia="Times New Roman" w:hAnsi="Calibri" w:cs="Times New Roman"/>
        </w:rPr>
      </w:pPr>
      <w:r w:rsidRPr="00031603">
        <w:rPr>
          <w:rFonts w:ascii="Calibri" w:eastAsia="Times New Roman" w:hAnsi="Calibri" w:cs="Times New Roman"/>
        </w:rPr>
        <w:t xml:space="preserve">Tacoma Community College </w:t>
      </w:r>
    </w:p>
    <w:p w14:paraId="17355EB6" w14:textId="53C3CC32" w:rsidR="00CB5847" w:rsidRPr="00031603" w:rsidRDefault="534D132E" w:rsidP="0077335E">
      <w:pPr>
        <w:pStyle w:val="Title"/>
        <w:rPr>
          <w:rFonts w:ascii="Calibri" w:eastAsia="Times New Roman" w:hAnsi="Calibri" w:cs="Times New Roman"/>
        </w:rPr>
      </w:pPr>
      <w:r w:rsidRPr="00031603">
        <w:rPr>
          <w:rFonts w:ascii="Calibri" w:eastAsia="Times New Roman" w:hAnsi="Calibri" w:cs="Times New Roman"/>
        </w:rPr>
        <w:t>Instructional Assessment Overview Revision Recommendations</w:t>
      </w:r>
    </w:p>
    <w:p w14:paraId="757F395E" w14:textId="132FD76E" w:rsidR="00CB5847" w:rsidRPr="00031603" w:rsidRDefault="00F716FD" w:rsidP="0077335E">
      <w:pPr>
        <w:spacing w:after="0"/>
        <w:rPr>
          <w:rFonts w:ascii="Calibri" w:hAnsi="Calibri"/>
          <w:sz w:val="24"/>
          <w:szCs w:val="24"/>
        </w:rPr>
      </w:pPr>
      <w:r>
        <w:rPr>
          <w:rFonts w:ascii="Calibri" w:hAnsi="Calibri"/>
          <w:sz w:val="24"/>
          <w:szCs w:val="24"/>
        </w:rPr>
        <w:t>December</w:t>
      </w:r>
      <w:r w:rsidR="534D132E" w:rsidRPr="00031603">
        <w:rPr>
          <w:rFonts w:ascii="Calibri" w:hAnsi="Calibri"/>
          <w:sz w:val="24"/>
          <w:szCs w:val="24"/>
        </w:rPr>
        <w:t xml:space="preserve"> 2016</w:t>
      </w:r>
      <w:r w:rsidR="00DC1224">
        <w:rPr>
          <w:rFonts w:ascii="Calibri" w:hAnsi="Calibri"/>
          <w:sz w:val="24"/>
          <w:szCs w:val="24"/>
        </w:rPr>
        <w:t xml:space="preserve"> (revised January 2017)</w:t>
      </w:r>
    </w:p>
    <w:p w14:paraId="2CC8AF67" w14:textId="77777777" w:rsidR="00CB5847" w:rsidRPr="00031603" w:rsidRDefault="534D132E" w:rsidP="0077335E">
      <w:pPr>
        <w:pStyle w:val="Heading1"/>
        <w:spacing w:before="0"/>
        <w:rPr>
          <w:rFonts w:ascii="Calibri" w:eastAsia="Times New Roman" w:hAnsi="Calibri" w:cs="Times New Roman"/>
        </w:rPr>
      </w:pPr>
      <w:r w:rsidRPr="00031603">
        <w:rPr>
          <w:rFonts w:ascii="Calibri" w:eastAsia="Times New Roman" w:hAnsi="Calibri" w:cs="Times New Roman"/>
        </w:rPr>
        <w:t>Process and timeline</w:t>
      </w:r>
    </w:p>
    <w:p w14:paraId="0F0E5860" w14:textId="77777777" w:rsidR="00513311" w:rsidRPr="00031603" w:rsidRDefault="00513311" w:rsidP="0077335E">
      <w:pPr>
        <w:spacing w:after="0"/>
        <w:rPr>
          <w:rFonts w:ascii="Calibri" w:hAnsi="Calibri"/>
        </w:rPr>
      </w:pPr>
    </w:p>
    <w:p w14:paraId="00E51021" w14:textId="1D80C9C7" w:rsidR="007476F2" w:rsidRPr="00031603" w:rsidRDefault="534D132E" w:rsidP="0077335E">
      <w:pPr>
        <w:spacing w:after="0" w:line="240" w:lineRule="auto"/>
        <w:rPr>
          <w:rFonts w:ascii="Calibri" w:eastAsia="Arial,Times New Roman" w:hAnsi="Calibri" w:cs="Arial,Times New Roman"/>
          <w:color w:val="000000" w:themeColor="text1"/>
          <w:sz w:val="24"/>
          <w:szCs w:val="24"/>
        </w:rPr>
      </w:pPr>
      <w:r w:rsidRPr="00031603">
        <w:rPr>
          <w:rFonts w:ascii="Calibri" w:eastAsia="Arial,Times New Roman" w:hAnsi="Calibri" w:cs="Arial,Times New Roman"/>
          <w:color w:val="000000" w:themeColor="text1"/>
          <w:sz w:val="24"/>
          <w:szCs w:val="24"/>
        </w:rPr>
        <w:t xml:space="preserve">In </w:t>
      </w:r>
      <w:proofErr w:type="gramStart"/>
      <w:r w:rsidRPr="00031603">
        <w:rPr>
          <w:rFonts w:ascii="Calibri" w:eastAsia="Arial,Times New Roman" w:hAnsi="Calibri" w:cs="Arial,Times New Roman"/>
          <w:color w:val="000000" w:themeColor="text1"/>
          <w:sz w:val="24"/>
          <w:szCs w:val="24"/>
        </w:rPr>
        <w:t>Fall</w:t>
      </w:r>
      <w:proofErr w:type="gramEnd"/>
      <w:r w:rsidRPr="00031603">
        <w:rPr>
          <w:rFonts w:ascii="Calibri" w:eastAsia="Arial,Times New Roman" w:hAnsi="Calibri" w:cs="Arial,Times New Roman"/>
          <w:color w:val="000000" w:themeColor="text1"/>
          <w:sz w:val="24"/>
          <w:szCs w:val="24"/>
        </w:rPr>
        <w:t xml:space="preserve"> 2016, the Instructional Assessment Steering Committee (IASC) undertook the responsibility of reviewing the current instructional assessment processes in order to make recommendations for update and improvement.  IASC members reviewed the Course, Program, and Degree Learning </w:t>
      </w:r>
      <w:bookmarkStart w:id="0" w:name="_GoBack"/>
      <w:bookmarkEnd w:id="0"/>
      <w:r w:rsidRPr="00031603">
        <w:rPr>
          <w:rFonts w:ascii="Calibri" w:eastAsia="Arial,Times New Roman" w:hAnsi="Calibri" w:cs="Arial,Times New Roman"/>
          <w:color w:val="000000" w:themeColor="text1"/>
          <w:sz w:val="24"/>
          <w:szCs w:val="24"/>
        </w:rPr>
        <w:t xml:space="preserve">Outcome assessment reports from the past year, held a joint meeting with the Student Learning Improvement Council (SLIC) to discuss past practice, and sent out a survey to all faculty asking about current practice and inquiring into the desired future approach. </w:t>
      </w:r>
    </w:p>
    <w:p w14:paraId="7E176A51" w14:textId="77777777" w:rsidR="00513311" w:rsidRPr="00031603" w:rsidRDefault="00513311" w:rsidP="0077335E">
      <w:pPr>
        <w:spacing w:after="0" w:line="240" w:lineRule="auto"/>
        <w:rPr>
          <w:rFonts w:ascii="Calibri" w:eastAsia="Times New Roman" w:hAnsi="Calibri" w:cs="Arial"/>
          <w:bCs/>
          <w:color w:val="000000"/>
          <w:sz w:val="24"/>
          <w:szCs w:val="24"/>
        </w:rPr>
      </w:pPr>
    </w:p>
    <w:p w14:paraId="18184404" w14:textId="37160F7A" w:rsidR="00F66DE5" w:rsidRPr="00031603" w:rsidRDefault="00F66DE5" w:rsidP="00F66DE5">
      <w:pPr>
        <w:rPr>
          <w:rFonts w:ascii="Calibri" w:hAnsi="Calibri"/>
          <w:sz w:val="24"/>
          <w:szCs w:val="24"/>
        </w:rPr>
      </w:pPr>
      <w:r w:rsidRPr="00031603">
        <w:rPr>
          <w:rFonts w:ascii="Calibri" w:hAnsi="Calibri"/>
          <w:sz w:val="24"/>
          <w:szCs w:val="24"/>
        </w:rPr>
        <w:t>The IASC analyzed 112 survey responses.</w:t>
      </w:r>
      <w:r w:rsidRPr="00031603">
        <w:rPr>
          <w:rFonts w:ascii="Calibri" w:hAnsi="Calibri"/>
        </w:rPr>
        <w:t xml:space="preserve"> </w:t>
      </w:r>
      <w:r w:rsidR="534D132E" w:rsidRPr="00031603">
        <w:rPr>
          <w:rFonts w:ascii="Calibri" w:eastAsia="Arial,Times New Roman" w:hAnsi="Calibri" w:cs="Arial,Times New Roman"/>
          <w:color w:val="000000" w:themeColor="text1"/>
          <w:sz w:val="24"/>
          <w:szCs w:val="24"/>
        </w:rPr>
        <w:t xml:space="preserve">Members specifically looked for themes and general understandings in the written comments.  Detailed survey responses are found </w:t>
      </w:r>
      <w:hyperlink r:id="rId8">
        <w:r w:rsidR="534D132E" w:rsidRPr="00031603">
          <w:rPr>
            <w:rStyle w:val="Hyperlink"/>
            <w:rFonts w:ascii="Calibri" w:eastAsia="Arial,Times New Roman" w:hAnsi="Calibri" w:cs="Arial,Times New Roman"/>
            <w:b/>
            <w:bCs/>
            <w:sz w:val="24"/>
            <w:szCs w:val="24"/>
          </w:rPr>
          <w:t>here</w:t>
        </w:r>
      </w:hyperlink>
      <w:r w:rsidR="534D132E" w:rsidRPr="00031603">
        <w:rPr>
          <w:rFonts w:ascii="Calibri" w:eastAsia="Arial,Times New Roman" w:hAnsi="Calibri" w:cs="Arial,Times New Roman"/>
          <w:color w:val="000000" w:themeColor="text1"/>
          <w:sz w:val="24"/>
          <w:szCs w:val="24"/>
        </w:rPr>
        <w:t xml:space="preserve">. </w:t>
      </w:r>
      <w:r w:rsidRPr="00031603">
        <w:rPr>
          <w:rFonts w:ascii="Calibri" w:hAnsi="Calibri"/>
          <w:sz w:val="24"/>
          <w:szCs w:val="24"/>
        </w:rPr>
        <w:t xml:space="preserve">The recommendations below are the result of review and discussion </w:t>
      </w:r>
      <w:r w:rsidR="008426E4">
        <w:rPr>
          <w:rFonts w:ascii="Calibri" w:hAnsi="Calibri"/>
          <w:sz w:val="24"/>
          <w:szCs w:val="24"/>
        </w:rPr>
        <w:t xml:space="preserve">at </w:t>
      </w:r>
      <w:r w:rsidRPr="00031603">
        <w:rPr>
          <w:rFonts w:ascii="Calibri" w:hAnsi="Calibri"/>
          <w:sz w:val="24"/>
          <w:szCs w:val="24"/>
        </w:rPr>
        <w:t>IASC meetings on 11/10/2016 and 11/28/2016.</w:t>
      </w:r>
      <w:r w:rsidRPr="00031603">
        <w:rPr>
          <w:rFonts w:ascii="Calibri" w:eastAsia="Times New Roman" w:hAnsi="Calibri" w:cs="Arial"/>
          <w:bCs/>
          <w:color w:val="000000"/>
          <w:sz w:val="24"/>
          <w:szCs w:val="24"/>
        </w:rPr>
        <w:t xml:space="preserve"> </w:t>
      </w:r>
      <w:r w:rsidRPr="00031603">
        <w:rPr>
          <w:rFonts w:ascii="Calibri" w:hAnsi="Calibri"/>
          <w:sz w:val="24"/>
          <w:szCs w:val="24"/>
        </w:rPr>
        <w:t xml:space="preserve">Expedient endorsement of these recommendations will allow the IASC to then create exact processes and procedures (forms, training, </w:t>
      </w:r>
      <w:proofErr w:type="gramStart"/>
      <w:r w:rsidRPr="00031603">
        <w:rPr>
          <w:rFonts w:ascii="Calibri" w:hAnsi="Calibri"/>
          <w:sz w:val="24"/>
          <w:szCs w:val="24"/>
        </w:rPr>
        <w:t>timelines</w:t>
      </w:r>
      <w:proofErr w:type="gramEnd"/>
      <w:r w:rsidRPr="00031603">
        <w:rPr>
          <w:rFonts w:ascii="Calibri" w:hAnsi="Calibri"/>
          <w:sz w:val="24"/>
          <w:szCs w:val="24"/>
        </w:rPr>
        <w:t>) during Winter 2017 and implement them in Spring 2017.</w:t>
      </w:r>
    </w:p>
    <w:p w14:paraId="50EB59AD" w14:textId="05EAB46C" w:rsidR="007476F2" w:rsidRPr="00031603" w:rsidRDefault="007476F2" w:rsidP="0077335E">
      <w:pPr>
        <w:spacing w:after="0" w:line="240" w:lineRule="auto"/>
        <w:rPr>
          <w:rFonts w:ascii="Calibri" w:eastAsia="Times New Roman" w:hAnsi="Calibri" w:cs="Arial"/>
          <w:bCs/>
          <w:color w:val="000000"/>
          <w:sz w:val="24"/>
          <w:szCs w:val="24"/>
        </w:rPr>
      </w:pPr>
    </w:p>
    <w:p w14:paraId="6A0481F5" w14:textId="2D87ED8E" w:rsidR="009718B2" w:rsidRPr="00031603" w:rsidRDefault="534D132E" w:rsidP="0077335E">
      <w:pPr>
        <w:pStyle w:val="Heading2"/>
        <w:spacing w:before="0"/>
        <w:rPr>
          <w:rFonts w:ascii="Calibri" w:eastAsia="Times New Roman" w:hAnsi="Calibri" w:cs="Times New Roman"/>
        </w:rPr>
      </w:pPr>
      <w:r w:rsidRPr="00031603">
        <w:rPr>
          <w:rFonts w:ascii="Calibri" w:eastAsia="Times New Roman" w:hAnsi="Calibri" w:cs="Times New Roman"/>
        </w:rPr>
        <w:t>IASC members:</w:t>
      </w:r>
    </w:p>
    <w:p w14:paraId="154054D9" w14:textId="603AC66A" w:rsidR="003268F5" w:rsidRDefault="534D132E" w:rsidP="0077335E">
      <w:pPr>
        <w:pStyle w:val="NoSpacing"/>
        <w:rPr>
          <w:rFonts w:ascii="Calibri" w:hAnsi="Calibri"/>
          <w:sz w:val="24"/>
          <w:szCs w:val="24"/>
        </w:rPr>
      </w:pPr>
      <w:r w:rsidRPr="00031603">
        <w:rPr>
          <w:rFonts w:ascii="Calibri" w:hAnsi="Calibri"/>
          <w:sz w:val="24"/>
          <w:szCs w:val="24"/>
        </w:rPr>
        <w:t xml:space="preserve">Jared </w:t>
      </w:r>
      <w:proofErr w:type="spellStart"/>
      <w:r w:rsidRPr="00031603">
        <w:rPr>
          <w:rFonts w:ascii="Calibri" w:hAnsi="Calibri"/>
          <w:sz w:val="24"/>
          <w:szCs w:val="24"/>
        </w:rPr>
        <w:t>Abwawo</w:t>
      </w:r>
      <w:proofErr w:type="spellEnd"/>
      <w:r w:rsidRPr="00031603">
        <w:rPr>
          <w:rFonts w:ascii="Calibri" w:hAnsi="Calibri"/>
          <w:sz w:val="24"/>
          <w:szCs w:val="24"/>
        </w:rPr>
        <w:t>, Mathematics</w:t>
      </w:r>
    </w:p>
    <w:p w14:paraId="35A17BA6" w14:textId="0F117091" w:rsidR="007819BF" w:rsidRPr="00031603" w:rsidRDefault="007819BF" w:rsidP="0077335E">
      <w:pPr>
        <w:pStyle w:val="NoSpacing"/>
        <w:rPr>
          <w:rFonts w:ascii="Calibri" w:hAnsi="Calibri"/>
          <w:sz w:val="24"/>
          <w:szCs w:val="24"/>
        </w:rPr>
      </w:pPr>
      <w:r>
        <w:rPr>
          <w:rFonts w:ascii="Calibri" w:hAnsi="Calibri"/>
          <w:sz w:val="24"/>
          <w:szCs w:val="24"/>
        </w:rPr>
        <w:t xml:space="preserve">Jonathan </w:t>
      </w:r>
      <w:proofErr w:type="spellStart"/>
      <w:r>
        <w:rPr>
          <w:rFonts w:ascii="Calibri" w:hAnsi="Calibri"/>
          <w:sz w:val="24"/>
          <w:szCs w:val="24"/>
        </w:rPr>
        <w:t>Armel</w:t>
      </w:r>
      <w:proofErr w:type="spellEnd"/>
      <w:r>
        <w:rPr>
          <w:rFonts w:ascii="Calibri" w:hAnsi="Calibri"/>
          <w:sz w:val="24"/>
          <w:szCs w:val="24"/>
        </w:rPr>
        <w:t>, Mathematics</w:t>
      </w:r>
    </w:p>
    <w:p w14:paraId="4F46DDF4" w14:textId="6CBDA8C3" w:rsidR="003268F5" w:rsidRPr="00031603" w:rsidRDefault="534D132E" w:rsidP="0077335E">
      <w:pPr>
        <w:pStyle w:val="NoSpacing"/>
        <w:rPr>
          <w:rFonts w:ascii="Calibri" w:hAnsi="Calibri"/>
          <w:sz w:val="24"/>
          <w:szCs w:val="24"/>
        </w:rPr>
      </w:pPr>
      <w:r w:rsidRPr="00031603">
        <w:rPr>
          <w:rFonts w:ascii="Calibri" w:hAnsi="Calibri"/>
          <w:sz w:val="24"/>
          <w:szCs w:val="24"/>
        </w:rPr>
        <w:t xml:space="preserve">Bruno </w:t>
      </w:r>
      <w:proofErr w:type="spellStart"/>
      <w:r w:rsidRPr="00031603">
        <w:rPr>
          <w:rFonts w:ascii="Calibri" w:hAnsi="Calibri"/>
          <w:sz w:val="24"/>
          <w:szCs w:val="24"/>
        </w:rPr>
        <w:t>Arzola</w:t>
      </w:r>
      <w:proofErr w:type="spellEnd"/>
      <w:r w:rsidRPr="00031603">
        <w:rPr>
          <w:rFonts w:ascii="Calibri" w:hAnsi="Calibri"/>
          <w:sz w:val="24"/>
          <w:szCs w:val="24"/>
        </w:rPr>
        <w:t>-Padilla, World Languages</w:t>
      </w:r>
    </w:p>
    <w:p w14:paraId="2C7C2DC8" w14:textId="00F391F1" w:rsidR="00967A90" w:rsidRPr="00031603" w:rsidRDefault="534D132E" w:rsidP="0077335E">
      <w:pPr>
        <w:pStyle w:val="NoSpacing"/>
        <w:rPr>
          <w:rFonts w:ascii="Calibri" w:hAnsi="Calibri"/>
          <w:sz w:val="24"/>
          <w:szCs w:val="24"/>
        </w:rPr>
      </w:pPr>
      <w:r w:rsidRPr="00031603">
        <w:rPr>
          <w:rFonts w:ascii="Calibri" w:hAnsi="Calibri"/>
          <w:sz w:val="24"/>
          <w:szCs w:val="24"/>
        </w:rPr>
        <w:t xml:space="preserve">Analea </w:t>
      </w:r>
      <w:proofErr w:type="spellStart"/>
      <w:r w:rsidRPr="00031603">
        <w:rPr>
          <w:rFonts w:ascii="Calibri" w:hAnsi="Calibri"/>
          <w:sz w:val="24"/>
          <w:szCs w:val="24"/>
        </w:rPr>
        <w:t>Brauburger</w:t>
      </w:r>
      <w:proofErr w:type="spellEnd"/>
      <w:r w:rsidRPr="00031603">
        <w:rPr>
          <w:rFonts w:ascii="Calibri" w:hAnsi="Calibri"/>
          <w:sz w:val="24"/>
          <w:szCs w:val="24"/>
        </w:rPr>
        <w:t xml:space="preserve"> (Co-chair), Curriculum &amp; Assessment Coordinator</w:t>
      </w:r>
    </w:p>
    <w:p w14:paraId="49DAB3CA" w14:textId="663019B5" w:rsidR="003268F5" w:rsidRPr="00031603" w:rsidRDefault="534D132E" w:rsidP="0077335E">
      <w:pPr>
        <w:pStyle w:val="NoSpacing"/>
        <w:rPr>
          <w:rFonts w:ascii="Calibri" w:hAnsi="Calibri"/>
          <w:sz w:val="24"/>
          <w:szCs w:val="24"/>
        </w:rPr>
      </w:pPr>
      <w:r w:rsidRPr="00031603">
        <w:rPr>
          <w:rFonts w:ascii="Calibri" w:hAnsi="Calibri"/>
          <w:sz w:val="24"/>
          <w:szCs w:val="24"/>
        </w:rPr>
        <w:t>Pam Costa, Psychology</w:t>
      </w:r>
    </w:p>
    <w:p w14:paraId="32F51F48" w14:textId="669E0E23" w:rsidR="00967A90" w:rsidRPr="00031603" w:rsidRDefault="534D132E" w:rsidP="0077335E">
      <w:pPr>
        <w:pStyle w:val="NoSpacing"/>
        <w:rPr>
          <w:rFonts w:ascii="Calibri" w:hAnsi="Calibri"/>
          <w:sz w:val="24"/>
          <w:szCs w:val="24"/>
        </w:rPr>
      </w:pPr>
      <w:r w:rsidRPr="00031603">
        <w:rPr>
          <w:rFonts w:ascii="Calibri" w:hAnsi="Calibri"/>
          <w:sz w:val="24"/>
          <w:szCs w:val="24"/>
        </w:rPr>
        <w:t>Heather Gillanders (Interim Co-chair), Library</w:t>
      </w:r>
    </w:p>
    <w:p w14:paraId="5E571FFA" w14:textId="792D30D9" w:rsidR="003268F5" w:rsidRDefault="534D132E" w:rsidP="0077335E">
      <w:pPr>
        <w:pStyle w:val="NoSpacing"/>
        <w:rPr>
          <w:rFonts w:ascii="Calibri" w:hAnsi="Calibri"/>
          <w:sz w:val="24"/>
          <w:szCs w:val="24"/>
        </w:rPr>
      </w:pPr>
      <w:r w:rsidRPr="00031603">
        <w:rPr>
          <w:rFonts w:ascii="Calibri" w:hAnsi="Calibri"/>
          <w:sz w:val="24"/>
          <w:szCs w:val="24"/>
        </w:rPr>
        <w:t xml:space="preserve">Katie </w:t>
      </w:r>
      <w:proofErr w:type="spellStart"/>
      <w:r w:rsidRPr="00031603">
        <w:rPr>
          <w:rFonts w:ascii="Calibri" w:hAnsi="Calibri"/>
          <w:sz w:val="24"/>
          <w:szCs w:val="24"/>
        </w:rPr>
        <w:t>Gulliford</w:t>
      </w:r>
      <w:proofErr w:type="spellEnd"/>
      <w:r w:rsidRPr="00031603">
        <w:rPr>
          <w:rFonts w:ascii="Calibri" w:hAnsi="Calibri"/>
          <w:sz w:val="24"/>
          <w:szCs w:val="24"/>
        </w:rPr>
        <w:t>, Chemistry</w:t>
      </w:r>
    </w:p>
    <w:p w14:paraId="5F49E164" w14:textId="3058ABE5" w:rsidR="006124C5" w:rsidRPr="00031603" w:rsidRDefault="006124C5" w:rsidP="0077335E">
      <w:pPr>
        <w:pStyle w:val="NoSpacing"/>
        <w:rPr>
          <w:rFonts w:ascii="Calibri" w:hAnsi="Calibri"/>
          <w:sz w:val="24"/>
          <w:szCs w:val="24"/>
        </w:rPr>
      </w:pPr>
      <w:r>
        <w:rPr>
          <w:rFonts w:ascii="Calibri" w:hAnsi="Calibri"/>
          <w:sz w:val="24"/>
          <w:szCs w:val="24"/>
        </w:rPr>
        <w:t>Corinne Jarvis, HIT</w:t>
      </w:r>
    </w:p>
    <w:p w14:paraId="430039D9" w14:textId="04DCE7E2" w:rsidR="003268F5" w:rsidRPr="00031603" w:rsidRDefault="534D132E" w:rsidP="0077335E">
      <w:pPr>
        <w:pStyle w:val="NoSpacing"/>
        <w:rPr>
          <w:rFonts w:ascii="Calibri" w:hAnsi="Calibri"/>
          <w:sz w:val="24"/>
          <w:szCs w:val="24"/>
        </w:rPr>
      </w:pPr>
      <w:r w:rsidRPr="00031603">
        <w:rPr>
          <w:rFonts w:ascii="Calibri" w:hAnsi="Calibri"/>
          <w:sz w:val="24"/>
          <w:szCs w:val="24"/>
        </w:rPr>
        <w:t>Ruth Lopes, Nursing</w:t>
      </w:r>
    </w:p>
    <w:p w14:paraId="7AB82128" w14:textId="23962233" w:rsidR="003268F5" w:rsidRPr="00031603" w:rsidRDefault="534D132E" w:rsidP="0077335E">
      <w:pPr>
        <w:pStyle w:val="NoSpacing"/>
        <w:rPr>
          <w:rFonts w:ascii="Calibri" w:hAnsi="Calibri"/>
          <w:sz w:val="24"/>
          <w:szCs w:val="24"/>
        </w:rPr>
      </w:pPr>
      <w:r w:rsidRPr="00031603">
        <w:rPr>
          <w:rFonts w:ascii="Calibri" w:hAnsi="Calibri"/>
          <w:sz w:val="24"/>
          <w:szCs w:val="24"/>
        </w:rPr>
        <w:t>Anne Lyman, Music</w:t>
      </w:r>
    </w:p>
    <w:p w14:paraId="29B86F64" w14:textId="21A026CE" w:rsidR="003268F5" w:rsidRPr="00031603" w:rsidRDefault="534D132E" w:rsidP="0077335E">
      <w:pPr>
        <w:pStyle w:val="NoSpacing"/>
        <w:rPr>
          <w:rFonts w:ascii="Calibri" w:hAnsi="Calibri"/>
          <w:sz w:val="24"/>
          <w:szCs w:val="24"/>
        </w:rPr>
      </w:pPr>
      <w:r w:rsidRPr="00031603">
        <w:rPr>
          <w:rFonts w:ascii="Calibri" w:hAnsi="Calibri"/>
          <w:sz w:val="24"/>
          <w:szCs w:val="24"/>
        </w:rPr>
        <w:t xml:space="preserve">Matthew </w:t>
      </w:r>
      <w:proofErr w:type="spellStart"/>
      <w:r w:rsidRPr="00031603">
        <w:rPr>
          <w:rFonts w:ascii="Calibri" w:hAnsi="Calibri"/>
          <w:sz w:val="24"/>
          <w:szCs w:val="24"/>
        </w:rPr>
        <w:t>Mburu</w:t>
      </w:r>
      <w:proofErr w:type="spellEnd"/>
      <w:r w:rsidRPr="00031603">
        <w:rPr>
          <w:rFonts w:ascii="Calibri" w:hAnsi="Calibri"/>
          <w:sz w:val="24"/>
          <w:szCs w:val="24"/>
        </w:rPr>
        <w:t>, Business</w:t>
      </w:r>
    </w:p>
    <w:p w14:paraId="51AAD452" w14:textId="72EDFA7C" w:rsidR="003268F5" w:rsidRPr="00031603" w:rsidRDefault="534D132E" w:rsidP="0077335E">
      <w:pPr>
        <w:pStyle w:val="NoSpacing"/>
        <w:rPr>
          <w:rFonts w:ascii="Calibri" w:hAnsi="Calibri"/>
          <w:sz w:val="24"/>
          <w:szCs w:val="24"/>
        </w:rPr>
      </w:pPr>
      <w:r w:rsidRPr="00031603">
        <w:rPr>
          <w:rFonts w:ascii="Calibri" w:hAnsi="Calibri"/>
          <w:sz w:val="24"/>
          <w:szCs w:val="24"/>
        </w:rPr>
        <w:t>James Mendoza, Counseling</w:t>
      </w:r>
    </w:p>
    <w:p w14:paraId="17FD7E96" w14:textId="17BD2F28" w:rsidR="003268F5" w:rsidRPr="00031603" w:rsidRDefault="534D132E" w:rsidP="0077335E">
      <w:pPr>
        <w:pStyle w:val="NoSpacing"/>
        <w:rPr>
          <w:rFonts w:ascii="Calibri" w:hAnsi="Calibri"/>
          <w:sz w:val="24"/>
          <w:szCs w:val="24"/>
        </w:rPr>
      </w:pPr>
      <w:r w:rsidRPr="00031603">
        <w:rPr>
          <w:rFonts w:ascii="Calibri" w:hAnsi="Calibri"/>
          <w:sz w:val="24"/>
          <w:szCs w:val="24"/>
        </w:rPr>
        <w:t>Monica Monk, EAP</w:t>
      </w:r>
    </w:p>
    <w:p w14:paraId="2EAF5784" w14:textId="1BB0DF2A" w:rsidR="003268F5" w:rsidRPr="00031603" w:rsidRDefault="534D132E" w:rsidP="0077335E">
      <w:pPr>
        <w:pStyle w:val="NoSpacing"/>
        <w:rPr>
          <w:rFonts w:ascii="Calibri" w:hAnsi="Calibri"/>
          <w:sz w:val="24"/>
          <w:szCs w:val="24"/>
        </w:rPr>
      </w:pPr>
      <w:r w:rsidRPr="00031603">
        <w:rPr>
          <w:rFonts w:ascii="Calibri" w:hAnsi="Calibri"/>
          <w:sz w:val="24"/>
          <w:szCs w:val="24"/>
        </w:rPr>
        <w:t>Deb Padden, eLearning</w:t>
      </w:r>
    </w:p>
    <w:p w14:paraId="4FC6E0F4" w14:textId="75CF8045" w:rsidR="003268F5" w:rsidRPr="00031603" w:rsidRDefault="534D132E" w:rsidP="0077335E">
      <w:pPr>
        <w:pStyle w:val="NoSpacing"/>
        <w:rPr>
          <w:rFonts w:ascii="Calibri" w:hAnsi="Calibri"/>
          <w:sz w:val="24"/>
          <w:szCs w:val="24"/>
        </w:rPr>
      </w:pPr>
      <w:r w:rsidRPr="00031603">
        <w:rPr>
          <w:rFonts w:ascii="Calibri" w:hAnsi="Calibri"/>
          <w:sz w:val="24"/>
          <w:szCs w:val="24"/>
        </w:rPr>
        <w:t>Kelley Sadler, Institutional Research</w:t>
      </w:r>
    </w:p>
    <w:p w14:paraId="6B6DFEA9" w14:textId="176C2BE8" w:rsidR="003268F5" w:rsidRPr="00031603" w:rsidRDefault="534D132E" w:rsidP="0077335E">
      <w:pPr>
        <w:pStyle w:val="NoSpacing"/>
        <w:rPr>
          <w:rFonts w:ascii="Calibri" w:hAnsi="Calibri"/>
          <w:sz w:val="24"/>
          <w:szCs w:val="24"/>
        </w:rPr>
      </w:pPr>
      <w:r w:rsidRPr="00031603">
        <w:rPr>
          <w:rFonts w:ascii="Calibri" w:hAnsi="Calibri"/>
          <w:sz w:val="24"/>
          <w:szCs w:val="24"/>
        </w:rPr>
        <w:t xml:space="preserve">Mecca </w:t>
      </w:r>
      <w:proofErr w:type="spellStart"/>
      <w:r w:rsidRPr="00031603">
        <w:rPr>
          <w:rFonts w:ascii="Calibri" w:hAnsi="Calibri"/>
          <w:sz w:val="24"/>
          <w:szCs w:val="24"/>
        </w:rPr>
        <w:t>Salahuddin</w:t>
      </w:r>
      <w:proofErr w:type="spellEnd"/>
      <w:r w:rsidRPr="00031603">
        <w:rPr>
          <w:rFonts w:ascii="Calibri" w:hAnsi="Calibri"/>
          <w:sz w:val="24"/>
          <w:szCs w:val="24"/>
        </w:rPr>
        <w:t>, Organizational Learning and Effectiveness</w:t>
      </w:r>
    </w:p>
    <w:p w14:paraId="3478C00B" w14:textId="75F60A71" w:rsidR="003268F5" w:rsidRPr="00031603" w:rsidRDefault="534D132E" w:rsidP="0077335E">
      <w:pPr>
        <w:pStyle w:val="NoSpacing"/>
        <w:rPr>
          <w:rFonts w:ascii="Calibri" w:hAnsi="Calibri"/>
          <w:sz w:val="24"/>
          <w:szCs w:val="24"/>
        </w:rPr>
      </w:pPr>
      <w:r w:rsidRPr="00031603">
        <w:rPr>
          <w:rFonts w:ascii="Calibri" w:hAnsi="Calibri"/>
          <w:sz w:val="24"/>
          <w:szCs w:val="24"/>
        </w:rPr>
        <w:t>Kristina Young, Written/Oral Communication</w:t>
      </w:r>
      <w:r w:rsidR="00F66DE5" w:rsidRPr="00031603">
        <w:rPr>
          <w:rFonts w:ascii="Calibri" w:hAnsi="Calibri"/>
          <w:sz w:val="24"/>
          <w:szCs w:val="24"/>
        </w:rPr>
        <w:t xml:space="preserve"> and Humanities</w:t>
      </w:r>
    </w:p>
    <w:p w14:paraId="2BDD28D1" w14:textId="77777777" w:rsidR="003268F5" w:rsidRPr="00031603" w:rsidRDefault="003268F5" w:rsidP="0077335E">
      <w:pPr>
        <w:pStyle w:val="NoSpacing"/>
        <w:rPr>
          <w:rFonts w:ascii="Calibri" w:hAnsi="Calibri"/>
          <w:sz w:val="24"/>
          <w:szCs w:val="24"/>
        </w:rPr>
      </w:pPr>
    </w:p>
    <w:p w14:paraId="3DF3D4BD" w14:textId="77777777" w:rsidR="009718B2" w:rsidRPr="00031603" w:rsidRDefault="534D132E" w:rsidP="0077335E">
      <w:pPr>
        <w:pStyle w:val="Heading1"/>
        <w:spacing w:before="0"/>
        <w:rPr>
          <w:rFonts w:ascii="Calibri" w:eastAsia="Times New Roman" w:hAnsi="Calibri" w:cs="Times New Roman"/>
        </w:rPr>
      </w:pPr>
      <w:r w:rsidRPr="00031603">
        <w:rPr>
          <w:rFonts w:ascii="Calibri" w:eastAsia="Times New Roman" w:hAnsi="Calibri" w:cs="Times New Roman"/>
        </w:rPr>
        <w:t>Recommendations</w:t>
      </w:r>
    </w:p>
    <w:p w14:paraId="4E13CE80" w14:textId="77777777" w:rsidR="00513311" w:rsidRPr="00031603" w:rsidRDefault="00513311" w:rsidP="0077335E">
      <w:pPr>
        <w:spacing w:after="0"/>
        <w:rPr>
          <w:rFonts w:ascii="Calibri" w:hAnsi="Calibri"/>
        </w:rPr>
      </w:pPr>
    </w:p>
    <w:p w14:paraId="68E5EA07" w14:textId="50946AEE" w:rsidR="00513311" w:rsidRPr="00031603" w:rsidRDefault="534D132E" w:rsidP="0077335E">
      <w:pPr>
        <w:spacing w:after="0"/>
        <w:rPr>
          <w:rFonts w:ascii="Calibri" w:hAnsi="Calibri"/>
        </w:rPr>
      </w:pPr>
      <w:r w:rsidRPr="00031603">
        <w:rPr>
          <w:rFonts w:ascii="Calibri" w:hAnsi="Calibri"/>
        </w:rPr>
        <w:t>TCC instructional assessment includes three levels of outcomes: Course Learning Outcomes (CLO), Program Learning Outcomes (PLO) and Degree Learning Outcomes (DLO).  We recommend practices around the three levels as follows.</w:t>
      </w:r>
    </w:p>
    <w:p w14:paraId="7AFB8BB5" w14:textId="77777777" w:rsidR="00F66DE5" w:rsidRPr="00031603" w:rsidRDefault="00F66DE5" w:rsidP="0077335E">
      <w:pPr>
        <w:spacing w:after="0"/>
        <w:rPr>
          <w:rFonts w:ascii="Calibri" w:hAnsi="Calibri"/>
        </w:rPr>
      </w:pPr>
    </w:p>
    <w:p w14:paraId="3047E121" w14:textId="11F8182A" w:rsidR="00513311" w:rsidRPr="00031603" w:rsidRDefault="00954863" w:rsidP="0077335E">
      <w:pPr>
        <w:pStyle w:val="Heading2"/>
        <w:spacing w:before="0"/>
        <w:rPr>
          <w:rFonts w:ascii="Calibri" w:hAnsi="Calibri"/>
        </w:rPr>
      </w:pPr>
      <w:r w:rsidRPr="00031603">
        <w:rPr>
          <w:rFonts w:ascii="Calibri" w:hAnsi="Calibri"/>
        </w:rPr>
        <w:t>Course Learning Outcomes (</w:t>
      </w:r>
      <w:r w:rsidR="00DF4CB8" w:rsidRPr="00031603">
        <w:rPr>
          <w:rFonts w:ascii="Calibri" w:hAnsi="Calibri"/>
        </w:rPr>
        <w:t>CLO</w:t>
      </w:r>
      <w:r w:rsidRPr="00031603">
        <w:rPr>
          <w:rFonts w:ascii="Calibri" w:hAnsi="Calibri"/>
        </w:rPr>
        <w:t>)</w:t>
      </w:r>
    </w:p>
    <w:p w14:paraId="7B5846EC" w14:textId="04A5B9E2" w:rsidR="00C07254" w:rsidRPr="00031603" w:rsidRDefault="534D132E" w:rsidP="0077335E">
      <w:pPr>
        <w:spacing w:after="0"/>
        <w:rPr>
          <w:rFonts w:ascii="Calibri" w:hAnsi="Calibri"/>
          <w:b/>
          <w:bCs/>
        </w:rPr>
      </w:pPr>
      <w:r w:rsidRPr="00031603">
        <w:rPr>
          <w:rFonts w:ascii="Calibri" w:hAnsi="Calibri"/>
          <w:b/>
          <w:bCs/>
        </w:rPr>
        <w:t>Recommendation</w:t>
      </w:r>
    </w:p>
    <w:p w14:paraId="27C8F0BD" w14:textId="1E8C171E" w:rsidR="00C07254" w:rsidRPr="00031603" w:rsidRDefault="37440662" w:rsidP="37440662">
      <w:pPr>
        <w:pStyle w:val="ListParagraph"/>
        <w:numPr>
          <w:ilvl w:val="0"/>
          <w:numId w:val="2"/>
        </w:numPr>
        <w:spacing w:after="0"/>
        <w:rPr>
          <w:rFonts w:eastAsiaTheme="minorEastAsia"/>
        </w:rPr>
      </w:pPr>
      <w:r w:rsidRPr="37440662">
        <w:rPr>
          <w:rFonts w:ascii="Calibri" w:eastAsia="Calibri" w:hAnsi="Calibri" w:cs="Calibri"/>
        </w:rPr>
        <w:t>CLO assessment will be determined by the individual disciplines (and their respective programs).  Course level assessment is the responsibility of each individual instructor at the college.  The program chair and his/her designated assessment person (if not the chair) along with their faculty will determine the process for collecting CLO data.  Faculty will collect information on student achievement of all CLOs.</w:t>
      </w:r>
    </w:p>
    <w:p w14:paraId="58E74D4A" w14:textId="3B4AD6ED" w:rsidR="0073004E" w:rsidRPr="00031603" w:rsidRDefault="37440662" w:rsidP="37440662">
      <w:pPr>
        <w:pStyle w:val="ListParagraph"/>
        <w:numPr>
          <w:ilvl w:val="0"/>
          <w:numId w:val="2"/>
        </w:numPr>
        <w:spacing w:after="0"/>
        <w:rPr>
          <w:rFonts w:eastAsiaTheme="minorEastAsia"/>
        </w:rPr>
      </w:pPr>
      <w:r w:rsidRPr="37440662">
        <w:rPr>
          <w:rFonts w:ascii="Calibri" w:eastAsia="Calibri" w:hAnsi="Calibri" w:cs="Calibri"/>
        </w:rPr>
        <w:t>IASC, SLIC and the Office of Organizational Learning and Effectiveness (OLE) will provide professional development/guidance around CLO data collection strategies.</w:t>
      </w:r>
    </w:p>
    <w:p w14:paraId="79A7666C" w14:textId="77777777" w:rsidR="00C07254" w:rsidRPr="00031603" w:rsidRDefault="00C07254" w:rsidP="0077335E">
      <w:pPr>
        <w:spacing w:after="0"/>
        <w:rPr>
          <w:rFonts w:ascii="Calibri" w:hAnsi="Calibri"/>
        </w:rPr>
      </w:pPr>
    </w:p>
    <w:p w14:paraId="64D8C72D" w14:textId="0D430A35" w:rsidR="00C07254" w:rsidRPr="00031603" w:rsidRDefault="534D132E" w:rsidP="0077335E">
      <w:pPr>
        <w:spacing w:after="0"/>
        <w:rPr>
          <w:rFonts w:ascii="Calibri" w:hAnsi="Calibri"/>
          <w:b/>
          <w:bCs/>
        </w:rPr>
      </w:pPr>
      <w:r w:rsidRPr="00031603">
        <w:rPr>
          <w:rFonts w:ascii="Calibri" w:hAnsi="Calibri"/>
          <w:b/>
          <w:bCs/>
        </w:rPr>
        <w:t>Rationale</w:t>
      </w:r>
    </w:p>
    <w:p w14:paraId="22B2F658" w14:textId="77777777" w:rsidR="00F66DE5" w:rsidRPr="00031603" w:rsidRDefault="00F66DE5" w:rsidP="00F66DE5">
      <w:pPr>
        <w:rPr>
          <w:rFonts w:ascii="Calibri" w:hAnsi="Calibri"/>
        </w:rPr>
      </w:pPr>
      <w:r w:rsidRPr="00031603">
        <w:rPr>
          <w:rFonts w:ascii="Calibri" w:hAnsi="Calibri"/>
          <w:sz w:val="24"/>
          <w:szCs w:val="24"/>
        </w:rPr>
        <w:t xml:space="preserve">The current CLO process does not provide reliable data for meaningful longitudinal comparison because of low response rates and opportunistic sampling. </w:t>
      </w:r>
      <w:r w:rsidR="534D132E" w:rsidRPr="00031603">
        <w:rPr>
          <w:rFonts w:ascii="Calibri" w:hAnsi="Calibri"/>
        </w:rPr>
        <w:t xml:space="preserve">Creating strategies for collecting data on course outcomes, processes for aggregating the information in meaningful ways, and opportunities for instructors to reflect on the information in order to make improvements to their courses is essential.  </w:t>
      </w:r>
      <w:r w:rsidRPr="00031603">
        <w:rPr>
          <w:rFonts w:ascii="Calibri" w:hAnsi="Calibri"/>
        </w:rPr>
        <w:t>Collecting data surrounding student achievement of course level outcomes allows for the meaningful, data driven approach to course proposal updates and discipline level strategies for improving student learning.</w:t>
      </w:r>
    </w:p>
    <w:p w14:paraId="545DA67D" w14:textId="192F2279" w:rsidR="00C07254" w:rsidRPr="00031603" w:rsidRDefault="534D132E" w:rsidP="00F66DE5">
      <w:pPr>
        <w:rPr>
          <w:rFonts w:ascii="Calibri" w:hAnsi="Calibri"/>
        </w:rPr>
      </w:pPr>
      <w:r w:rsidRPr="00031603">
        <w:rPr>
          <w:rFonts w:ascii="Calibri" w:hAnsi="Calibri"/>
        </w:rPr>
        <w:t xml:space="preserve">In order to respect the diversity of disciplines at TCC, </w:t>
      </w:r>
      <w:r w:rsidR="0077335E" w:rsidRPr="00031603">
        <w:rPr>
          <w:rFonts w:ascii="Calibri" w:hAnsi="Calibri"/>
        </w:rPr>
        <w:t>CLO</w:t>
      </w:r>
      <w:r w:rsidRPr="00031603">
        <w:rPr>
          <w:rFonts w:ascii="Calibri" w:hAnsi="Calibri"/>
        </w:rPr>
        <w:t xml:space="preserve"> data collection </w:t>
      </w:r>
      <w:r w:rsidR="00F66DE5" w:rsidRPr="00031603">
        <w:rPr>
          <w:rFonts w:ascii="Calibri" w:hAnsi="Calibri"/>
        </w:rPr>
        <w:t xml:space="preserve">strategies and implementation will be determined by the discipline and program chairs. </w:t>
      </w:r>
      <w:r w:rsidRPr="00031603">
        <w:rPr>
          <w:rFonts w:ascii="Calibri" w:hAnsi="Calibri"/>
        </w:rPr>
        <w:t>Instructional leaders at t</w:t>
      </w:r>
      <w:r w:rsidR="008215BE" w:rsidRPr="00031603">
        <w:rPr>
          <w:rFonts w:ascii="Calibri" w:hAnsi="Calibri"/>
        </w:rPr>
        <w:t>he college (IASC/SLIC/OLE</w:t>
      </w:r>
      <w:r w:rsidRPr="00031603">
        <w:rPr>
          <w:rFonts w:ascii="Calibri" w:hAnsi="Calibri"/>
        </w:rPr>
        <w:t>) will develop a toolkit for chairs that includes possible</w:t>
      </w:r>
      <w:r w:rsidR="00F66DE5" w:rsidRPr="00031603">
        <w:rPr>
          <w:rFonts w:ascii="Calibri" w:hAnsi="Calibri"/>
        </w:rPr>
        <w:t xml:space="preserve"> collection strategies such as </w:t>
      </w:r>
      <w:r w:rsidRPr="00031603">
        <w:rPr>
          <w:rFonts w:ascii="Calibri" w:hAnsi="Calibri"/>
        </w:rPr>
        <w:t xml:space="preserve">the current survey; instructions/training on using the Learning Mastery tab in Gradebook in Canvas to gather embedded, authentic assessment data; </w:t>
      </w:r>
      <w:r w:rsidR="00031603">
        <w:rPr>
          <w:rFonts w:ascii="Calibri" w:hAnsi="Calibri"/>
        </w:rPr>
        <w:t xml:space="preserve">and </w:t>
      </w:r>
      <w:r w:rsidRPr="00031603">
        <w:rPr>
          <w:rFonts w:ascii="Calibri" w:hAnsi="Calibri"/>
        </w:rPr>
        <w:t>guidance on developing common assignments/rubrics.</w:t>
      </w:r>
    </w:p>
    <w:p w14:paraId="218C0681" w14:textId="484BF3A9" w:rsidR="00C15434" w:rsidRPr="00031603" w:rsidRDefault="0077335E" w:rsidP="0077335E">
      <w:pPr>
        <w:pStyle w:val="Heading2"/>
        <w:spacing w:before="0"/>
        <w:rPr>
          <w:rFonts w:ascii="Calibri" w:hAnsi="Calibri"/>
        </w:rPr>
      </w:pPr>
      <w:r w:rsidRPr="00031603">
        <w:rPr>
          <w:rFonts w:ascii="Calibri" w:hAnsi="Calibri"/>
        </w:rPr>
        <w:t>Program Learning Outcomes (</w:t>
      </w:r>
      <w:r w:rsidR="00DF4CB8" w:rsidRPr="00031603">
        <w:rPr>
          <w:rFonts w:ascii="Calibri" w:hAnsi="Calibri"/>
        </w:rPr>
        <w:t>PLO</w:t>
      </w:r>
      <w:r w:rsidRPr="00031603">
        <w:rPr>
          <w:rFonts w:ascii="Calibri" w:hAnsi="Calibri"/>
        </w:rPr>
        <w:t>)</w:t>
      </w:r>
    </w:p>
    <w:p w14:paraId="13E2469A" w14:textId="1C963BCD" w:rsidR="00C15434" w:rsidRPr="00031603" w:rsidRDefault="534D132E" w:rsidP="0077335E">
      <w:pPr>
        <w:spacing w:after="0"/>
        <w:rPr>
          <w:rFonts w:ascii="Calibri" w:hAnsi="Calibri"/>
          <w:b/>
          <w:bCs/>
        </w:rPr>
      </w:pPr>
      <w:r w:rsidRPr="00031603">
        <w:rPr>
          <w:rFonts w:ascii="Calibri" w:hAnsi="Calibri"/>
          <w:b/>
          <w:bCs/>
        </w:rPr>
        <w:t>Recommendation</w:t>
      </w:r>
    </w:p>
    <w:p w14:paraId="4CDAE842" w14:textId="4668AAEF" w:rsidR="00C15434" w:rsidRPr="00031603" w:rsidRDefault="37440662" w:rsidP="37440662">
      <w:pPr>
        <w:pStyle w:val="ListParagraph"/>
        <w:numPr>
          <w:ilvl w:val="0"/>
          <w:numId w:val="3"/>
        </w:numPr>
        <w:spacing w:after="0"/>
        <w:rPr>
          <w:rFonts w:eastAsiaTheme="minorEastAsia"/>
        </w:rPr>
      </w:pPr>
      <w:r w:rsidRPr="37440662">
        <w:rPr>
          <w:rFonts w:ascii="Calibri" w:eastAsia="Calibri" w:hAnsi="Calibri" w:cs="Calibri"/>
        </w:rPr>
        <w:t xml:space="preserve">Composition of programs must be meaningful from both faculty and student perspectives. Individual discipline faculty, along with current program chairs and deans should analyze current programs to determine which disciplines belong to which programs.  As program composition is determined, the current PLOs should be re-evaluated for meaning and updated, if necessary.  </w:t>
      </w:r>
    </w:p>
    <w:p w14:paraId="0B4E2888" w14:textId="454171D7" w:rsidR="00182012" w:rsidRPr="004A2A31" w:rsidRDefault="37440662" w:rsidP="37440662">
      <w:pPr>
        <w:pStyle w:val="ListParagraph"/>
        <w:numPr>
          <w:ilvl w:val="0"/>
          <w:numId w:val="3"/>
        </w:numPr>
        <w:spacing w:after="0"/>
        <w:rPr>
          <w:rFonts w:eastAsiaTheme="minorEastAsia"/>
        </w:rPr>
      </w:pPr>
      <w:r w:rsidRPr="37440662">
        <w:rPr>
          <w:rFonts w:ascii="Calibri" w:eastAsia="Calibri" w:hAnsi="Calibri" w:cs="Calibri"/>
        </w:rPr>
        <w:t xml:space="preserve">PLO assessment will be done at the program level.  Program chairs, their designated assessment person and their faculty will determine their process for collecting and reporting on PLO achievement. Programs may elect to continue using the annual PLO form (updated) if that works </w:t>
      </w:r>
      <w:proofErr w:type="gramStart"/>
      <w:r w:rsidRPr="37440662">
        <w:rPr>
          <w:rFonts w:ascii="Calibri" w:eastAsia="Calibri" w:hAnsi="Calibri" w:cs="Calibri"/>
        </w:rPr>
        <w:t>well</w:t>
      </w:r>
      <w:proofErr w:type="gramEnd"/>
      <w:r w:rsidRPr="37440662">
        <w:rPr>
          <w:rFonts w:ascii="Calibri" w:eastAsia="Calibri" w:hAnsi="Calibri" w:cs="Calibri"/>
        </w:rPr>
        <w:t xml:space="preserve"> or they may choose a different process that works better for their needs.  This process is intimately tied to the collection of CLO data.  PLO assessment should include the aggregate of </w:t>
      </w:r>
      <w:r w:rsidRPr="37440662">
        <w:rPr>
          <w:rFonts w:ascii="Calibri" w:eastAsia="Calibri" w:hAnsi="Calibri" w:cs="Calibri"/>
        </w:rPr>
        <w:lastRenderedPageBreak/>
        <w:t>CLO data as well as any other meaningful research projects.  PLO assessment will be reported in the Program Review. More explicit guidelines for PLO assessment inclusion in the Program Review process is needed.</w:t>
      </w:r>
    </w:p>
    <w:p w14:paraId="57B74959" w14:textId="77777777" w:rsidR="004A2A31" w:rsidRPr="004A2A31" w:rsidRDefault="004A2A31" w:rsidP="004A2A31">
      <w:pPr>
        <w:pStyle w:val="ListParagraph"/>
        <w:numPr>
          <w:ilvl w:val="0"/>
          <w:numId w:val="3"/>
        </w:numPr>
        <w:rPr>
          <w:rFonts w:ascii="Calibri" w:eastAsia="Calibri" w:hAnsi="Calibri" w:cs="Calibri"/>
          <w:sz w:val="24"/>
          <w:szCs w:val="24"/>
        </w:rPr>
      </w:pPr>
      <w:r w:rsidRPr="004A2A31">
        <w:rPr>
          <w:rFonts w:ascii="Calibri" w:eastAsia="Calibri" w:hAnsi="Calibri" w:cs="Calibri"/>
        </w:rPr>
        <w:t>Because longitudinal comparisons are important to mark progress and achievement, programs should choose assessment strategies that will remain stable.</w:t>
      </w:r>
    </w:p>
    <w:p w14:paraId="1D713F4D" w14:textId="4A80DE3F" w:rsidR="00C15434" w:rsidRPr="00031603" w:rsidRDefault="534D132E" w:rsidP="0077335E">
      <w:pPr>
        <w:spacing w:after="0"/>
        <w:rPr>
          <w:rFonts w:ascii="Calibri" w:hAnsi="Calibri"/>
          <w:b/>
          <w:bCs/>
        </w:rPr>
      </w:pPr>
      <w:r w:rsidRPr="00031603">
        <w:rPr>
          <w:rFonts w:ascii="Calibri" w:hAnsi="Calibri"/>
          <w:b/>
          <w:bCs/>
        </w:rPr>
        <w:t>Rationale</w:t>
      </w:r>
    </w:p>
    <w:p w14:paraId="1575382D" w14:textId="5352CECF" w:rsidR="37440662" w:rsidRDefault="37440662" w:rsidP="37440662">
      <w:pPr>
        <w:spacing w:after="0"/>
      </w:pPr>
      <w:r w:rsidRPr="37440662">
        <w:rPr>
          <w:rFonts w:ascii="Calibri" w:eastAsia="Calibri" w:hAnsi="Calibri" w:cs="Calibri"/>
        </w:rPr>
        <w:t xml:space="preserve">Individual programs should have the leeway to determine their own assessments within the proscribed PLO guidelines (to be created in </w:t>
      </w:r>
      <w:proofErr w:type="gramStart"/>
      <w:r w:rsidRPr="37440662">
        <w:rPr>
          <w:rFonts w:ascii="Calibri" w:eastAsia="Calibri" w:hAnsi="Calibri" w:cs="Calibri"/>
        </w:rPr>
        <w:t>Winter</w:t>
      </w:r>
      <w:proofErr w:type="gramEnd"/>
      <w:r w:rsidRPr="37440662">
        <w:rPr>
          <w:rFonts w:ascii="Calibri" w:eastAsia="Calibri" w:hAnsi="Calibri" w:cs="Calibri"/>
        </w:rPr>
        <w:t xml:space="preserve"> 2017).  Most PLO assessment should revolve around aggregating course level assessment meaningfully and connecting it to the program level outcomes.  The idea of PLOs centers on meaningfully grouping courses together into a program, identifying unifying outcomes for the program, determining how students are progressing in achieving those outcomes for the program, and </w:t>
      </w:r>
      <w:r w:rsidR="004A2A31">
        <w:t>making programmatic or curricular improvements based on collected information, as well as on community and other stakeholder needs.</w:t>
      </w:r>
    </w:p>
    <w:p w14:paraId="03705E20" w14:textId="77777777" w:rsidR="00F2447C" w:rsidRDefault="00F2447C" w:rsidP="37440662">
      <w:pPr>
        <w:spacing w:after="0"/>
        <w:rPr>
          <w:rFonts w:ascii="Calibri" w:eastAsia="Calibri" w:hAnsi="Calibri" w:cs="Calibri"/>
        </w:rPr>
      </w:pPr>
    </w:p>
    <w:p w14:paraId="1FBF2ED7" w14:textId="05D5A5E3" w:rsidR="37440662" w:rsidRDefault="37440662" w:rsidP="00F716FD">
      <w:pPr>
        <w:spacing w:after="0"/>
        <w:rPr>
          <w:rFonts w:ascii="Calibri" w:eastAsia="Calibri" w:hAnsi="Calibri" w:cs="Calibri"/>
        </w:rPr>
      </w:pPr>
      <w:r w:rsidRPr="37440662">
        <w:rPr>
          <w:rFonts w:ascii="Calibri" w:eastAsia="Calibri" w:hAnsi="Calibri" w:cs="Calibri"/>
        </w:rPr>
        <w:t>PLO assessment need not be completely separate from CLO assessment.  After all, the programs are comprised of individual courses</w:t>
      </w:r>
      <w:r w:rsidR="004A2A31">
        <w:rPr>
          <w:rFonts w:ascii="Calibri" w:eastAsia="Calibri" w:hAnsi="Calibri" w:cs="Calibri"/>
        </w:rPr>
        <w:t>,</w:t>
      </w:r>
      <w:r w:rsidRPr="37440662">
        <w:rPr>
          <w:rFonts w:ascii="Calibri" w:eastAsia="Calibri" w:hAnsi="Calibri" w:cs="Calibri"/>
        </w:rPr>
        <w:t xml:space="preserve"> and those course outcomes should be directly tied to program outcomes, allowing for data aggregation.</w:t>
      </w:r>
    </w:p>
    <w:p w14:paraId="28B1E0E7" w14:textId="77777777" w:rsidR="004832C7" w:rsidRDefault="004832C7" w:rsidP="00F716FD">
      <w:pPr>
        <w:spacing w:after="0"/>
        <w:rPr>
          <w:rFonts w:ascii="Calibri" w:eastAsia="Calibri" w:hAnsi="Calibri" w:cs="Calibri"/>
        </w:rPr>
      </w:pPr>
    </w:p>
    <w:p w14:paraId="1FA74D2C" w14:textId="5B12B45E" w:rsidR="00D837CE" w:rsidRPr="00031603" w:rsidRDefault="0077335E" w:rsidP="0077335E">
      <w:pPr>
        <w:pStyle w:val="Heading2"/>
        <w:spacing w:before="0"/>
        <w:rPr>
          <w:rFonts w:ascii="Calibri" w:hAnsi="Calibri"/>
        </w:rPr>
      </w:pPr>
      <w:r w:rsidRPr="00031603">
        <w:rPr>
          <w:rFonts w:ascii="Calibri" w:hAnsi="Calibri"/>
        </w:rPr>
        <w:t>Degree Learning Outcomes (</w:t>
      </w:r>
      <w:r w:rsidR="00DF4CB8" w:rsidRPr="00031603">
        <w:rPr>
          <w:rFonts w:ascii="Calibri" w:hAnsi="Calibri"/>
        </w:rPr>
        <w:t>DLO</w:t>
      </w:r>
      <w:r w:rsidRPr="00031603">
        <w:rPr>
          <w:rFonts w:ascii="Calibri" w:hAnsi="Calibri"/>
        </w:rPr>
        <w:t>)</w:t>
      </w:r>
    </w:p>
    <w:p w14:paraId="7048662D" w14:textId="5F5A4115" w:rsidR="00D837CE" w:rsidRPr="00031603" w:rsidRDefault="534D132E" w:rsidP="0077335E">
      <w:pPr>
        <w:spacing w:after="0"/>
        <w:rPr>
          <w:rFonts w:ascii="Calibri" w:hAnsi="Calibri"/>
          <w:b/>
          <w:bCs/>
        </w:rPr>
      </w:pPr>
      <w:r w:rsidRPr="00031603">
        <w:rPr>
          <w:rFonts w:ascii="Calibri" w:hAnsi="Calibri"/>
          <w:b/>
          <w:bCs/>
        </w:rPr>
        <w:t>Recommendation</w:t>
      </w:r>
    </w:p>
    <w:p w14:paraId="4220E1C8" w14:textId="410BAC4D" w:rsidR="008B0AFB" w:rsidRPr="00031603" w:rsidRDefault="37440662" w:rsidP="37440662">
      <w:pPr>
        <w:pStyle w:val="ListParagraph"/>
        <w:numPr>
          <w:ilvl w:val="0"/>
          <w:numId w:val="1"/>
        </w:numPr>
        <w:spacing w:after="0"/>
        <w:rPr>
          <w:rFonts w:eastAsiaTheme="minorEastAsia"/>
        </w:rPr>
      </w:pPr>
      <w:r w:rsidRPr="37440662">
        <w:rPr>
          <w:rFonts w:ascii="Calibri" w:eastAsia="Calibri" w:hAnsi="Calibri" w:cs="Calibri"/>
        </w:rPr>
        <w:t>DLO assessment will be done on a yearly basis with a rotating schedule.  Rubrics will be created by IASC and/or SLIC to assess achievement levels of the individual DLO.  The process for applying the DLO rubrics will be created and applied uniformly to each DLO (with room for minor adjustment given the nature of each DLO).  Each DLO will be assessed at least once in a five-year cycle.</w:t>
      </w:r>
    </w:p>
    <w:p w14:paraId="4E495D46" w14:textId="77777777" w:rsidR="00D837CE" w:rsidRPr="00031603" w:rsidRDefault="00D837CE" w:rsidP="0077335E">
      <w:pPr>
        <w:spacing w:after="0"/>
        <w:rPr>
          <w:rFonts w:ascii="Calibri" w:hAnsi="Calibri"/>
        </w:rPr>
      </w:pPr>
    </w:p>
    <w:p w14:paraId="3E79BD26" w14:textId="247F9A26" w:rsidR="00D837CE" w:rsidRPr="00031603" w:rsidRDefault="534D132E" w:rsidP="0077335E">
      <w:pPr>
        <w:spacing w:after="0"/>
        <w:rPr>
          <w:rFonts w:ascii="Calibri" w:hAnsi="Calibri"/>
          <w:b/>
          <w:bCs/>
        </w:rPr>
      </w:pPr>
      <w:r w:rsidRPr="00031603">
        <w:rPr>
          <w:rFonts w:ascii="Calibri" w:hAnsi="Calibri"/>
          <w:b/>
          <w:bCs/>
        </w:rPr>
        <w:t>Rationale</w:t>
      </w:r>
    </w:p>
    <w:p w14:paraId="3EA64EBB" w14:textId="7049B108" w:rsidR="004A2A31" w:rsidRPr="004A2A31" w:rsidRDefault="37440662" w:rsidP="004A2A31">
      <w:pPr>
        <w:pStyle w:val="CommentText"/>
        <w:rPr>
          <w:sz w:val="22"/>
          <w:szCs w:val="22"/>
        </w:rPr>
      </w:pPr>
      <w:r w:rsidRPr="004A2A31">
        <w:rPr>
          <w:rFonts w:ascii="Calibri" w:eastAsia="Calibri" w:hAnsi="Calibri" w:cs="Calibri"/>
          <w:sz w:val="22"/>
          <w:szCs w:val="22"/>
        </w:rPr>
        <w:t xml:space="preserve">The verbiage of the DLOs is currently under review by SLIC.  Once the DLO review is complete and the recommendations are endorsed, </w:t>
      </w:r>
      <w:r w:rsidR="004A2A31" w:rsidRPr="004A2A31">
        <w:rPr>
          <w:rFonts w:ascii="Calibri" w:eastAsia="Calibri" w:hAnsi="Calibri" w:cs="Calibri"/>
          <w:sz w:val="22"/>
          <w:szCs w:val="22"/>
        </w:rPr>
        <w:t>the annual DLO cycle will begin</w:t>
      </w:r>
      <w:r w:rsidRPr="004A2A31">
        <w:rPr>
          <w:rFonts w:ascii="Calibri" w:eastAsia="Calibri" w:hAnsi="Calibri" w:cs="Calibri"/>
          <w:sz w:val="22"/>
          <w:szCs w:val="22"/>
        </w:rPr>
        <w:t xml:space="preserve">.  DLOs are the college-wide promise to students.  TCC commits to educating students by providing them the skills outlined by the DLO.  </w:t>
      </w:r>
      <w:r w:rsidR="0037397B">
        <w:rPr>
          <w:sz w:val="22"/>
          <w:szCs w:val="22"/>
        </w:rPr>
        <w:t>W</w:t>
      </w:r>
      <w:r w:rsidR="004A2A31" w:rsidRPr="004A2A31">
        <w:rPr>
          <w:sz w:val="22"/>
          <w:szCs w:val="22"/>
        </w:rPr>
        <w:t>e must collect student DLO achievement data to determine individual DLO relevance and to guide interventions for greater student DLO achievement.</w:t>
      </w:r>
    </w:p>
    <w:p w14:paraId="595CD33A" w14:textId="18242B85" w:rsidR="00513311" w:rsidRPr="00031603" w:rsidRDefault="00513311" w:rsidP="0077335E">
      <w:pPr>
        <w:spacing w:after="0"/>
        <w:rPr>
          <w:rFonts w:ascii="Calibri" w:hAnsi="Calibri"/>
        </w:rPr>
      </w:pPr>
    </w:p>
    <w:p w14:paraId="59203E1F" w14:textId="77777777" w:rsidR="00513311" w:rsidRPr="00031603" w:rsidRDefault="00513311" w:rsidP="0077335E">
      <w:pPr>
        <w:spacing w:after="0"/>
        <w:rPr>
          <w:rFonts w:ascii="Calibri" w:hAnsi="Calibri"/>
        </w:rPr>
      </w:pPr>
    </w:p>
    <w:p w14:paraId="44FC143C" w14:textId="77777777" w:rsidR="00513311" w:rsidRPr="00031603" w:rsidRDefault="00513311" w:rsidP="0077335E">
      <w:pPr>
        <w:spacing w:after="0"/>
        <w:rPr>
          <w:rFonts w:ascii="Calibri" w:hAnsi="Calibri"/>
        </w:rPr>
      </w:pPr>
    </w:p>
    <w:sectPr w:rsidR="00513311" w:rsidRPr="0003160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87FEE" w14:textId="77777777" w:rsidR="006F2EDF" w:rsidRDefault="006F2EDF" w:rsidP="00E96C29">
      <w:pPr>
        <w:spacing w:after="0" w:line="240" w:lineRule="auto"/>
      </w:pPr>
      <w:r>
        <w:separator/>
      </w:r>
    </w:p>
  </w:endnote>
  <w:endnote w:type="continuationSeparator" w:id="0">
    <w:p w14:paraId="4C58F609" w14:textId="77777777" w:rsidR="006F2EDF" w:rsidRDefault="006F2EDF" w:rsidP="00E9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840584"/>
      <w:docPartObj>
        <w:docPartGallery w:val="Page Numbers (Bottom of Page)"/>
        <w:docPartUnique/>
      </w:docPartObj>
    </w:sdtPr>
    <w:sdtEndPr>
      <w:rPr>
        <w:noProof/>
      </w:rPr>
    </w:sdtEndPr>
    <w:sdtContent>
      <w:p w14:paraId="6497425C" w14:textId="50135B3D" w:rsidR="00DF4CB8" w:rsidRDefault="00DF4CB8">
        <w:pPr>
          <w:pStyle w:val="Footer"/>
          <w:jc w:val="right"/>
        </w:pPr>
        <w:r>
          <w:fldChar w:fldCharType="begin"/>
        </w:r>
        <w:r>
          <w:instrText xml:space="preserve"> PAGE   \* MERGEFORMAT </w:instrText>
        </w:r>
        <w:r>
          <w:fldChar w:fldCharType="separate"/>
        </w:r>
        <w:r w:rsidR="00DC1224">
          <w:rPr>
            <w:noProof/>
          </w:rPr>
          <w:t>3</w:t>
        </w:r>
        <w:r>
          <w:rPr>
            <w:noProof/>
          </w:rPr>
          <w:fldChar w:fldCharType="end"/>
        </w:r>
      </w:p>
    </w:sdtContent>
  </w:sdt>
  <w:p w14:paraId="7B4DB8E7" w14:textId="77777777" w:rsidR="00DF4CB8" w:rsidRDefault="00DF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93D2" w14:textId="77777777" w:rsidR="006F2EDF" w:rsidRDefault="006F2EDF" w:rsidP="00E96C29">
      <w:pPr>
        <w:spacing w:after="0" w:line="240" w:lineRule="auto"/>
      </w:pPr>
      <w:r>
        <w:separator/>
      </w:r>
    </w:p>
  </w:footnote>
  <w:footnote w:type="continuationSeparator" w:id="0">
    <w:p w14:paraId="03FAAE3F" w14:textId="77777777" w:rsidR="006F2EDF" w:rsidRDefault="006F2EDF" w:rsidP="00E96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4EA"/>
    <w:multiLevelType w:val="multilevel"/>
    <w:tmpl w:val="E91681B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E42E0"/>
    <w:multiLevelType w:val="hybridMultilevel"/>
    <w:tmpl w:val="8ADEF912"/>
    <w:lvl w:ilvl="0" w:tplc="E59E684C">
      <w:start w:val="1"/>
      <w:numFmt w:val="bullet"/>
      <w:lvlText w:val=""/>
      <w:lvlJc w:val="left"/>
      <w:pPr>
        <w:ind w:left="720" w:hanging="360"/>
      </w:pPr>
      <w:rPr>
        <w:rFonts w:ascii="Symbol" w:hAnsi="Symbol" w:hint="default"/>
      </w:rPr>
    </w:lvl>
    <w:lvl w:ilvl="1" w:tplc="8A568230">
      <w:start w:val="1"/>
      <w:numFmt w:val="bullet"/>
      <w:lvlText w:val="o"/>
      <w:lvlJc w:val="left"/>
      <w:pPr>
        <w:ind w:left="1440" w:hanging="360"/>
      </w:pPr>
      <w:rPr>
        <w:rFonts w:ascii="Courier New" w:hAnsi="Courier New" w:hint="default"/>
      </w:rPr>
    </w:lvl>
    <w:lvl w:ilvl="2" w:tplc="CF104C96">
      <w:start w:val="1"/>
      <w:numFmt w:val="bullet"/>
      <w:lvlText w:val=""/>
      <w:lvlJc w:val="left"/>
      <w:pPr>
        <w:ind w:left="2160" w:hanging="360"/>
      </w:pPr>
      <w:rPr>
        <w:rFonts w:ascii="Wingdings" w:hAnsi="Wingdings" w:hint="default"/>
      </w:rPr>
    </w:lvl>
    <w:lvl w:ilvl="3" w:tplc="927C12E6">
      <w:start w:val="1"/>
      <w:numFmt w:val="bullet"/>
      <w:lvlText w:val=""/>
      <w:lvlJc w:val="left"/>
      <w:pPr>
        <w:ind w:left="2880" w:hanging="360"/>
      </w:pPr>
      <w:rPr>
        <w:rFonts w:ascii="Symbol" w:hAnsi="Symbol" w:hint="default"/>
      </w:rPr>
    </w:lvl>
    <w:lvl w:ilvl="4" w:tplc="6EDC6F20">
      <w:start w:val="1"/>
      <w:numFmt w:val="bullet"/>
      <w:lvlText w:val="o"/>
      <w:lvlJc w:val="left"/>
      <w:pPr>
        <w:ind w:left="3600" w:hanging="360"/>
      </w:pPr>
      <w:rPr>
        <w:rFonts w:ascii="Courier New" w:hAnsi="Courier New" w:hint="default"/>
      </w:rPr>
    </w:lvl>
    <w:lvl w:ilvl="5" w:tplc="A48AE76C">
      <w:start w:val="1"/>
      <w:numFmt w:val="bullet"/>
      <w:lvlText w:val=""/>
      <w:lvlJc w:val="left"/>
      <w:pPr>
        <w:ind w:left="4320" w:hanging="360"/>
      </w:pPr>
      <w:rPr>
        <w:rFonts w:ascii="Wingdings" w:hAnsi="Wingdings" w:hint="default"/>
      </w:rPr>
    </w:lvl>
    <w:lvl w:ilvl="6" w:tplc="A43866DE">
      <w:start w:val="1"/>
      <w:numFmt w:val="bullet"/>
      <w:lvlText w:val=""/>
      <w:lvlJc w:val="left"/>
      <w:pPr>
        <w:ind w:left="5040" w:hanging="360"/>
      </w:pPr>
      <w:rPr>
        <w:rFonts w:ascii="Symbol" w:hAnsi="Symbol" w:hint="default"/>
      </w:rPr>
    </w:lvl>
    <w:lvl w:ilvl="7" w:tplc="C896A844">
      <w:start w:val="1"/>
      <w:numFmt w:val="bullet"/>
      <w:lvlText w:val="o"/>
      <w:lvlJc w:val="left"/>
      <w:pPr>
        <w:ind w:left="5760" w:hanging="360"/>
      </w:pPr>
      <w:rPr>
        <w:rFonts w:ascii="Courier New" w:hAnsi="Courier New" w:hint="default"/>
      </w:rPr>
    </w:lvl>
    <w:lvl w:ilvl="8" w:tplc="D56E7AEE">
      <w:start w:val="1"/>
      <w:numFmt w:val="bullet"/>
      <w:lvlText w:val=""/>
      <w:lvlJc w:val="left"/>
      <w:pPr>
        <w:ind w:left="6480" w:hanging="360"/>
      </w:pPr>
      <w:rPr>
        <w:rFonts w:ascii="Wingdings" w:hAnsi="Wingdings" w:hint="default"/>
      </w:rPr>
    </w:lvl>
  </w:abstractNum>
  <w:abstractNum w:abstractNumId="2" w15:restartNumberingAfterBreak="0">
    <w:nsid w:val="3D581B5B"/>
    <w:multiLevelType w:val="hybridMultilevel"/>
    <w:tmpl w:val="609E10B4"/>
    <w:lvl w:ilvl="0" w:tplc="17125A66">
      <w:start w:val="1"/>
      <w:numFmt w:val="bullet"/>
      <w:lvlText w:val=""/>
      <w:lvlJc w:val="left"/>
      <w:pPr>
        <w:ind w:left="720" w:hanging="360"/>
      </w:pPr>
      <w:rPr>
        <w:rFonts w:ascii="Symbol" w:hAnsi="Symbol" w:hint="default"/>
      </w:rPr>
    </w:lvl>
    <w:lvl w:ilvl="1" w:tplc="8B1068DA">
      <w:start w:val="1"/>
      <w:numFmt w:val="bullet"/>
      <w:lvlText w:val="o"/>
      <w:lvlJc w:val="left"/>
      <w:pPr>
        <w:ind w:left="1440" w:hanging="360"/>
      </w:pPr>
      <w:rPr>
        <w:rFonts w:ascii="Courier New" w:hAnsi="Courier New" w:hint="default"/>
      </w:rPr>
    </w:lvl>
    <w:lvl w:ilvl="2" w:tplc="F482C014">
      <w:start w:val="1"/>
      <w:numFmt w:val="bullet"/>
      <w:lvlText w:val=""/>
      <w:lvlJc w:val="left"/>
      <w:pPr>
        <w:ind w:left="2160" w:hanging="360"/>
      </w:pPr>
      <w:rPr>
        <w:rFonts w:ascii="Wingdings" w:hAnsi="Wingdings" w:hint="default"/>
      </w:rPr>
    </w:lvl>
    <w:lvl w:ilvl="3" w:tplc="76364F5E">
      <w:start w:val="1"/>
      <w:numFmt w:val="bullet"/>
      <w:lvlText w:val=""/>
      <w:lvlJc w:val="left"/>
      <w:pPr>
        <w:ind w:left="2880" w:hanging="360"/>
      </w:pPr>
      <w:rPr>
        <w:rFonts w:ascii="Symbol" w:hAnsi="Symbol" w:hint="default"/>
      </w:rPr>
    </w:lvl>
    <w:lvl w:ilvl="4" w:tplc="47D41D76">
      <w:start w:val="1"/>
      <w:numFmt w:val="bullet"/>
      <w:lvlText w:val="o"/>
      <w:lvlJc w:val="left"/>
      <w:pPr>
        <w:ind w:left="3600" w:hanging="360"/>
      </w:pPr>
      <w:rPr>
        <w:rFonts w:ascii="Courier New" w:hAnsi="Courier New" w:hint="default"/>
      </w:rPr>
    </w:lvl>
    <w:lvl w:ilvl="5" w:tplc="79960D12">
      <w:start w:val="1"/>
      <w:numFmt w:val="bullet"/>
      <w:lvlText w:val=""/>
      <w:lvlJc w:val="left"/>
      <w:pPr>
        <w:ind w:left="4320" w:hanging="360"/>
      </w:pPr>
      <w:rPr>
        <w:rFonts w:ascii="Wingdings" w:hAnsi="Wingdings" w:hint="default"/>
      </w:rPr>
    </w:lvl>
    <w:lvl w:ilvl="6" w:tplc="C6763AA6">
      <w:start w:val="1"/>
      <w:numFmt w:val="bullet"/>
      <w:lvlText w:val=""/>
      <w:lvlJc w:val="left"/>
      <w:pPr>
        <w:ind w:left="5040" w:hanging="360"/>
      </w:pPr>
      <w:rPr>
        <w:rFonts w:ascii="Symbol" w:hAnsi="Symbol" w:hint="default"/>
      </w:rPr>
    </w:lvl>
    <w:lvl w:ilvl="7" w:tplc="81BEDC3C">
      <w:start w:val="1"/>
      <w:numFmt w:val="bullet"/>
      <w:lvlText w:val="o"/>
      <w:lvlJc w:val="left"/>
      <w:pPr>
        <w:ind w:left="5760" w:hanging="360"/>
      </w:pPr>
      <w:rPr>
        <w:rFonts w:ascii="Courier New" w:hAnsi="Courier New" w:hint="default"/>
      </w:rPr>
    </w:lvl>
    <w:lvl w:ilvl="8" w:tplc="83F4A154">
      <w:start w:val="1"/>
      <w:numFmt w:val="bullet"/>
      <w:lvlText w:val=""/>
      <w:lvlJc w:val="left"/>
      <w:pPr>
        <w:ind w:left="6480" w:hanging="360"/>
      </w:pPr>
      <w:rPr>
        <w:rFonts w:ascii="Wingdings" w:hAnsi="Wingdings" w:hint="default"/>
      </w:rPr>
    </w:lvl>
  </w:abstractNum>
  <w:abstractNum w:abstractNumId="3" w15:restartNumberingAfterBreak="0">
    <w:nsid w:val="3EBF730C"/>
    <w:multiLevelType w:val="hybridMultilevel"/>
    <w:tmpl w:val="CB448FE6"/>
    <w:lvl w:ilvl="0" w:tplc="D6C4BD1A">
      <w:start w:val="1"/>
      <w:numFmt w:val="bullet"/>
      <w:lvlText w:val=""/>
      <w:lvlJc w:val="left"/>
      <w:pPr>
        <w:ind w:left="720" w:hanging="360"/>
      </w:pPr>
      <w:rPr>
        <w:rFonts w:ascii="Symbol" w:hAnsi="Symbol" w:hint="default"/>
      </w:rPr>
    </w:lvl>
    <w:lvl w:ilvl="1" w:tplc="40627DD4">
      <w:start w:val="1"/>
      <w:numFmt w:val="bullet"/>
      <w:lvlText w:val="o"/>
      <w:lvlJc w:val="left"/>
      <w:pPr>
        <w:ind w:left="1440" w:hanging="360"/>
      </w:pPr>
      <w:rPr>
        <w:rFonts w:ascii="Courier New" w:hAnsi="Courier New" w:hint="default"/>
      </w:rPr>
    </w:lvl>
    <w:lvl w:ilvl="2" w:tplc="BAB2D97E">
      <w:start w:val="1"/>
      <w:numFmt w:val="bullet"/>
      <w:lvlText w:val=""/>
      <w:lvlJc w:val="left"/>
      <w:pPr>
        <w:ind w:left="2160" w:hanging="360"/>
      </w:pPr>
      <w:rPr>
        <w:rFonts w:ascii="Wingdings" w:hAnsi="Wingdings" w:hint="default"/>
      </w:rPr>
    </w:lvl>
    <w:lvl w:ilvl="3" w:tplc="2F60D120">
      <w:start w:val="1"/>
      <w:numFmt w:val="bullet"/>
      <w:lvlText w:val=""/>
      <w:lvlJc w:val="left"/>
      <w:pPr>
        <w:ind w:left="2880" w:hanging="360"/>
      </w:pPr>
      <w:rPr>
        <w:rFonts w:ascii="Symbol" w:hAnsi="Symbol" w:hint="default"/>
      </w:rPr>
    </w:lvl>
    <w:lvl w:ilvl="4" w:tplc="3058EB78">
      <w:start w:val="1"/>
      <w:numFmt w:val="bullet"/>
      <w:lvlText w:val="o"/>
      <w:lvlJc w:val="left"/>
      <w:pPr>
        <w:ind w:left="3600" w:hanging="360"/>
      </w:pPr>
      <w:rPr>
        <w:rFonts w:ascii="Courier New" w:hAnsi="Courier New" w:hint="default"/>
      </w:rPr>
    </w:lvl>
    <w:lvl w:ilvl="5" w:tplc="F9EC8EAA">
      <w:start w:val="1"/>
      <w:numFmt w:val="bullet"/>
      <w:lvlText w:val=""/>
      <w:lvlJc w:val="left"/>
      <w:pPr>
        <w:ind w:left="4320" w:hanging="360"/>
      </w:pPr>
      <w:rPr>
        <w:rFonts w:ascii="Wingdings" w:hAnsi="Wingdings" w:hint="default"/>
      </w:rPr>
    </w:lvl>
    <w:lvl w:ilvl="6" w:tplc="82FEEEB2">
      <w:start w:val="1"/>
      <w:numFmt w:val="bullet"/>
      <w:lvlText w:val=""/>
      <w:lvlJc w:val="left"/>
      <w:pPr>
        <w:ind w:left="5040" w:hanging="360"/>
      </w:pPr>
      <w:rPr>
        <w:rFonts w:ascii="Symbol" w:hAnsi="Symbol" w:hint="default"/>
      </w:rPr>
    </w:lvl>
    <w:lvl w:ilvl="7" w:tplc="B62EA0E0">
      <w:start w:val="1"/>
      <w:numFmt w:val="bullet"/>
      <w:lvlText w:val="o"/>
      <w:lvlJc w:val="left"/>
      <w:pPr>
        <w:ind w:left="5760" w:hanging="360"/>
      </w:pPr>
      <w:rPr>
        <w:rFonts w:ascii="Courier New" w:hAnsi="Courier New" w:hint="default"/>
      </w:rPr>
    </w:lvl>
    <w:lvl w:ilvl="8" w:tplc="4AEA455E">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99"/>
    <w:rsid w:val="000014ED"/>
    <w:rsid w:val="0001293A"/>
    <w:rsid w:val="00031603"/>
    <w:rsid w:val="00044D7B"/>
    <w:rsid w:val="0005068F"/>
    <w:rsid w:val="00073DBC"/>
    <w:rsid w:val="000B57B6"/>
    <w:rsid w:val="000C300F"/>
    <w:rsid w:val="000C4FFB"/>
    <w:rsid w:val="000D3696"/>
    <w:rsid w:val="00143FBE"/>
    <w:rsid w:val="0016291B"/>
    <w:rsid w:val="00176466"/>
    <w:rsid w:val="00180B1C"/>
    <w:rsid w:val="00182012"/>
    <w:rsid w:val="001845BF"/>
    <w:rsid w:val="001932E1"/>
    <w:rsid w:val="001B7CAD"/>
    <w:rsid w:val="001C4535"/>
    <w:rsid w:val="001D39BF"/>
    <w:rsid w:val="001D4562"/>
    <w:rsid w:val="001E1524"/>
    <w:rsid w:val="00203460"/>
    <w:rsid w:val="00207689"/>
    <w:rsid w:val="00210EC5"/>
    <w:rsid w:val="00214824"/>
    <w:rsid w:val="00224E80"/>
    <w:rsid w:val="00244290"/>
    <w:rsid w:val="0025635E"/>
    <w:rsid w:val="0028486D"/>
    <w:rsid w:val="002863A0"/>
    <w:rsid w:val="002910B8"/>
    <w:rsid w:val="002A44AF"/>
    <w:rsid w:val="002B2E9D"/>
    <w:rsid w:val="002C1AFD"/>
    <w:rsid w:val="002C3AAE"/>
    <w:rsid w:val="002C3AE4"/>
    <w:rsid w:val="002C75C7"/>
    <w:rsid w:val="002E68FF"/>
    <w:rsid w:val="003268F5"/>
    <w:rsid w:val="00332044"/>
    <w:rsid w:val="00344A36"/>
    <w:rsid w:val="003720D1"/>
    <w:rsid w:val="0037397B"/>
    <w:rsid w:val="00392D91"/>
    <w:rsid w:val="00394A7E"/>
    <w:rsid w:val="00394C54"/>
    <w:rsid w:val="003966DB"/>
    <w:rsid w:val="0039700F"/>
    <w:rsid w:val="00397934"/>
    <w:rsid w:val="003A292F"/>
    <w:rsid w:val="003B6FDE"/>
    <w:rsid w:val="003C6DB3"/>
    <w:rsid w:val="003C765C"/>
    <w:rsid w:val="0041068B"/>
    <w:rsid w:val="0043404E"/>
    <w:rsid w:val="00482802"/>
    <w:rsid w:val="004832C7"/>
    <w:rsid w:val="00486770"/>
    <w:rsid w:val="004A2A31"/>
    <w:rsid w:val="004B70BD"/>
    <w:rsid w:val="004D5229"/>
    <w:rsid w:val="00513311"/>
    <w:rsid w:val="00545AA0"/>
    <w:rsid w:val="00567B49"/>
    <w:rsid w:val="0057341E"/>
    <w:rsid w:val="00583E0F"/>
    <w:rsid w:val="00585842"/>
    <w:rsid w:val="00590D5B"/>
    <w:rsid w:val="005C0E95"/>
    <w:rsid w:val="005C7A5D"/>
    <w:rsid w:val="006060D7"/>
    <w:rsid w:val="006124C5"/>
    <w:rsid w:val="00620C82"/>
    <w:rsid w:val="00652651"/>
    <w:rsid w:val="00653A02"/>
    <w:rsid w:val="0066661F"/>
    <w:rsid w:val="006C4740"/>
    <w:rsid w:val="006E06D5"/>
    <w:rsid w:val="006F2EDF"/>
    <w:rsid w:val="006F5CD6"/>
    <w:rsid w:val="00703499"/>
    <w:rsid w:val="007149E7"/>
    <w:rsid w:val="00723E6D"/>
    <w:rsid w:val="0073004E"/>
    <w:rsid w:val="00731CBF"/>
    <w:rsid w:val="007476F2"/>
    <w:rsid w:val="0077335E"/>
    <w:rsid w:val="007819BF"/>
    <w:rsid w:val="0079493D"/>
    <w:rsid w:val="007B0DF9"/>
    <w:rsid w:val="007C057D"/>
    <w:rsid w:val="007C5392"/>
    <w:rsid w:val="007D7957"/>
    <w:rsid w:val="00804BFC"/>
    <w:rsid w:val="008215BE"/>
    <w:rsid w:val="00840A5F"/>
    <w:rsid w:val="008426E4"/>
    <w:rsid w:val="0086181F"/>
    <w:rsid w:val="008717EC"/>
    <w:rsid w:val="008A3399"/>
    <w:rsid w:val="008B0AFB"/>
    <w:rsid w:val="008D45C6"/>
    <w:rsid w:val="008E11C3"/>
    <w:rsid w:val="008E1540"/>
    <w:rsid w:val="009364A9"/>
    <w:rsid w:val="00954863"/>
    <w:rsid w:val="00960FD7"/>
    <w:rsid w:val="00967A90"/>
    <w:rsid w:val="009718B2"/>
    <w:rsid w:val="00992DC4"/>
    <w:rsid w:val="009A0F2E"/>
    <w:rsid w:val="009E7AD2"/>
    <w:rsid w:val="00A13506"/>
    <w:rsid w:val="00A56698"/>
    <w:rsid w:val="00AE610B"/>
    <w:rsid w:val="00B02884"/>
    <w:rsid w:val="00B03736"/>
    <w:rsid w:val="00B5476A"/>
    <w:rsid w:val="00B71C11"/>
    <w:rsid w:val="00B802DA"/>
    <w:rsid w:val="00B8511B"/>
    <w:rsid w:val="00B967EB"/>
    <w:rsid w:val="00BA3A42"/>
    <w:rsid w:val="00BB3612"/>
    <w:rsid w:val="00BB38E3"/>
    <w:rsid w:val="00BE6AFA"/>
    <w:rsid w:val="00BF5E8E"/>
    <w:rsid w:val="00C052B6"/>
    <w:rsid w:val="00C07254"/>
    <w:rsid w:val="00C12420"/>
    <w:rsid w:val="00C15434"/>
    <w:rsid w:val="00C62552"/>
    <w:rsid w:val="00C76DD8"/>
    <w:rsid w:val="00CA048E"/>
    <w:rsid w:val="00CB5847"/>
    <w:rsid w:val="00CC0BD1"/>
    <w:rsid w:val="00CE6BD2"/>
    <w:rsid w:val="00D21F2A"/>
    <w:rsid w:val="00D343C3"/>
    <w:rsid w:val="00D50497"/>
    <w:rsid w:val="00D837CE"/>
    <w:rsid w:val="00DA028E"/>
    <w:rsid w:val="00DA2060"/>
    <w:rsid w:val="00DA7A9F"/>
    <w:rsid w:val="00DC1224"/>
    <w:rsid w:val="00DD0F9D"/>
    <w:rsid w:val="00DF4CB8"/>
    <w:rsid w:val="00E33B3D"/>
    <w:rsid w:val="00E702FD"/>
    <w:rsid w:val="00E738C0"/>
    <w:rsid w:val="00E87D1D"/>
    <w:rsid w:val="00E948A8"/>
    <w:rsid w:val="00E96C29"/>
    <w:rsid w:val="00EC16FE"/>
    <w:rsid w:val="00ED4CE6"/>
    <w:rsid w:val="00EE2A63"/>
    <w:rsid w:val="00F07085"/>
    <w:rsid w:val="00F07D2A"/>
    <w:rsid w:val="00F2447C"/>
    <w:rsid w:val="00F41C9A"/>
    <w:rsid w:val="00F53786"/>
    <w:rsid w:val="00F54C4B"/>
    <w:rsid w:val="00F6388D"/>
    <w:rsid w:val="00F66DE5"/>
    <w:rsid w:val="00F716FD"/>
    <w:rsid w:val="00F71B1B"/>
    <w:rsid w:val="00F80F0E"/>
    <w:rsid w:val="00F85FAD"/>
    <w:rsid w:val="00F96BA4"/>
    <w:rsid w:val="00FA77D2"/>
    <w:rsid w:val="00FB4EE9"/>
    <w:rsid w:val="00FD2629"/>
    <w:rsid w:val="00FD73DC"/>
    <w:rsid w:val="37440662"/>
    <w:rsid w:val="534D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DA17E"/>
  <w15:docId w15:val="{66E698E0-6B65-434C-B051-392275B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8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39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B58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8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49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718B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718B2"/>
    <w:pPr>
      <w:spacing w:after="0" w:line="240" w:lineRule="auto"/>
    </w:pPr>
  </w:style>
  <w:style w:type="character" w:styleId="Hyperlink">
    <w:name w:val="Hyperlink"/>
    <w:basedOn w:val="DefaultParagraphFont"/>
    <w:uiPriority w:val="99"/>
    <w:unhideWhenUsed/>
    <w:rsid w:val="00652651"/>
    <w:rPr>
      <w:color w:val="0563C1" w:themeColor="hyperlink"/>
      <w:u w:val="single"/>
    </w:rPr>
  </w:style>
  <w:style w:type="paragraph" w:styleId="FootnoteText">
    <w:name w:val="footnote text"/>
    <w:basedOn w:val="Normal"/>
    <w:link w:val="FootnoteTextChar"/>
    <w:uiPriority w:val="99"/>
    <w:semiHidden/>
    <w:unhideWhenUsed/>
    <w:rsid w:val="00E96C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C29"/>
    <w:rPr>
      <w:sz w:val="20"/>
      <w:szCs w:val="20"/>
    </w:rPr>
  </w:style>
  <w:style w:type="character" w:styleId="FootnoteReference">
    <w:name w:val="footnote reference"/>
    <w:basedOn w:val="DefaultParagraphFont"/>
    <w:uiPriority w:val="99"/>
    <w:semiHidden/>
    <w:unhideWhenUsed/>
    <w:rsid w:val="00E96C29"/>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E95"/>
    <w:rPr>
      <w:rFonts w:ascii="Segoe UI" w:hAnsi="Segoe UI" w:cs="Segoe UI"/>
      <w:sz w:val="18"/>
      <w:szCs w:val="18"/>
    </w:rPr>
  </w:style>
  <w:style w:type="character" w:styleId="FollowedHyperlink">
    <w:name w:val="FollowedHyperlink"/>
    <w:basedOn w:val="DefaultParagraphFont"/>
    <w:uiPriority w:val="99"/>
    <w:semiHidden/>
    <w:unhideWhenUsed/>
    <w:rsid w:val="00DF4CB8"/>
    <w:rPr>
      <w:color w:val="954F72" w:themeColor="followedHyperlink"/>
      <w:u w:val="single"/>
    </w:rPr>
  </w:style>
  <w:style w:type="paragraph" w:styleId="Header">
    <w:name w:val="header"/>
    <w:basedOn w:val="Normal"/>
    <w:link w:val="HeaderChar"/>
    <w:uiPriority w:val="99"/>
    <w:unhideWhenUsed/>
    <w:rsid w:val="00DF4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B8"/>
  </w:style>
  <w:style w:type="paragraph" w:styleId="Footer">
    <w:name w:val="footer"/>
    <w:basedOn w:val="Normal"/>
    <w:link w:val="FooterChar"/>
    <w:uiPriority w:val="99"/>
    <w:unhideWhenUsed/>
    <w:rsid w:val="00DF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B8"/>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1154">
      <w:bodyDiv w:val="1"/>
      <w:marLeft w:val="0"/>
      <w:marRight w:val="0"/>
      <w:marTop w:val="0"/>
      <w:marBottom w:val="0"/>
      <w:divBdr>
        <w:top w:val="none" w:sz="0" w:space="0" w:color="auto"/>
        <w:left w:val="none" w:sz="0" w:space="0" w:color="auto"/>
        <w:bottom w:val="none" w:sz="0" w:space="0" w:color="auto"/>
        <w:right w:val="none" w:sz="0" w:space="0" w:color="auto"/>
      </w:divBdr>
      <w:divsChild>
        <w:div w:id="1432164588">
          <w:marLeft w:val="0"/>
          <w:marRight w:val="0"/>
          <w:marTop w:val="0"/>
          <w:marBottom w:val="0"/>
          <w:divBdr>
            <w:top w:val="none" w:sz="0" w:space="0" w:color="auto"/>
            <w:left w:val="none" w:sz="0" w:space="0" w:color="auto"/>
            <w:bottom w:val="none" w:sz="0" w:space="0" w:color="auto"/>
            <w:right w:val="none" w:sz="0" w:space="0" w:color="auto"/>
          </w:divBdr>
        </w:div>
        <w:div w:id="891968308">
          <w:marLeft w:val="0"/>
          <w:marRight w:val="0"/>
          <w:marTop w:val="0"/>
          <w:marBottom w:val="0"/>
          <w:divBdr>
            <w:top w:val="none" w:sz="0" w:space="0" w:color="auto"/>
            <w:left w:val="none" w:sz="0" w:space="0" w:color="auto"/>
            <w:bottom w:val="none" w:sz="0" w:space="0" w:color="auto"/>
            <w:right w:val="none" w:sz="0" w:space="0" w:color="auto"/>
          </w:divBdr>
        </w:div>
        <w:div w:id="1921594141">
          <w:marLeft w:val="0"/>
          <w:marRight w:val="0"/>
          <w:marTop w:val="0"/>
          <w:marBottom w:val="0"/>
          <w:divBdr>
            <w:top w:val="none" w:sz="0" w:space="0" w:color="auto"/>
            <w:left w:val="none" w:sz="0" w:space="0" w:color="auto"/>
            <w:bottom w:val="none" w:sz="0" w:space="0" w:color="auto"/>
            <w:right w:val="none" w:sz="0" w:space="0" w:color="auto"/>
          </w:divBdr>
        </w:div>
        <w:div w:id="136386904">
          <w:marLeft w:val="0"/>
          <w:marRight w:val="0"/>
          <w:marTop w:val="0"/>
          <w:marBottom w:val="0"/>
          <w:divBdr>
            <w:top w:val="none" w:sz="0" w:space="0" w:color="auto"/>
            <w:left w:val="none" w:sz="0" w:space="0" w:color="auto"/>
            <w:bottom w:val="none" w:sz="0" w:space="0" w:color="auto"/>
            <w:right w:val="none" w:sz="0" w:space="0" w:color="auto"/>
          </w:divBdr>
        </w:div>
        <w:div w:id="1581133507">
          <w:marLeft w:val="0"/>
          <w:marRight w:val="0"/>
          <w:marTop w:val="0"/>
          <w:marBottom w:val="0"/>
          <w:divBdr>
            <w:top w:val="none" w:sz="0" w:space="0" w:color="auto"/>
            <w:left w:val="none" w:sz="0" w:space="0" w:color="auto"/>
            <w:bottom w:val="none" w:sz="0" w:space="0" w:color="auto"/>
            <w:right w:val="none" w:sz="0" w:space="0" w:color="auto"/>
          </w:divBdr>
        </w:div>
        <w:div w:id="235172418">
          <w:marLeft w:val="0"/>
          <w:marRight w:val="0"/>
          <w:marTop w:val="0"/>
          <w:marBottom w:val="0"/>
          <w:divBdr>
            <w:top w:val="none" w:sz="0" w:space="0" w:color="auto"/>
            <w:left w:val="none" w:sz="0" w:space="0" w:color="auto"/>
            <w:bottom w:val="none" w:sz="0" w:space="0" w:color="auto"/>
            <w:right w:val="none" w:sz="0" w:space="0" w:color="auto"/>
          </w:divBdr>
        </w:div>
        <w:div w:id="2012103079">
          <w:marLeft w:val="0"/>
          <w:marRight w:val="0"/>
          <w:marTop w:val="0"/>
          <w:marBottom w:val="0"/>
          <w:divBdr>
            <w:top w:val="none" w:sz="0" w:space="0" w:color="auto"/>
            <w:left w:val="none" w:sz="0" w:space="0" w:color="auto"/>
            <w:bottom w:val="none" w:sz="0" w:space="0" w:color="auto"/>
            <w:right w:val="none" w:sz="0" w:space="0" w:color="auto"/>
          </w:divBdr>
        </w:div>
        <w:div w:id="1168640052">
          <w:marLeft w:val="0"/>
          <w:marRight w:val="0"/>
          <w:marTop w:val="0"/>
          <w:marBottom w:val="0"/>
          <w:divBdr>
            <w:top w:val="none" w:sz="0" w:space="0" w:color="auto"/>
            <w:left w:val="none" w:sz="0" w:space="0" w:color="auto"/>
            <w:bottom w:val="none" w:sz="0" w:space="0" w:color="auto"/>
            <w:right w:val="none" w:sz="0" w:space="0" w:color="auto"/>
          </w:divBdr>
        </w:div>
        <w:div w:id="1066413399">
          <w:marLeft w:val="0"/>
          <w:marRight w:val="0"/>
          <w:marTop w:val="0"/>
          <w:marBottom w:val="0"/>
          <w:divBdr>
            <w:top w:val="none" w:sz="0" w:space="0" w:color="auto"/>
            <w:left w:val="none" w:sz="0" w:space="0" w:color="auto"/>
            <w:bottom w:val="none" w:sz="0" w:space="0" w:color="auto"/>
            <w:right w:val="none" w:sz="0" w:space="0" w:color="auto"/>
          </w:divBdr>
        </w:div>
        <w:div w:id="2132478728">
          <w:marLeft w:val="0"/>
          <w:marRight w:val="0"/>
          <w:marTop w:val="0"/>
          <w:marBottom w:val="0"/>
          <w:divBdr>
            <w:top w:val="none" w:sz="0" w:space="0" w:color="auto"/>
            <w:left w:val="none" w:sz="0" w:space="0" w:color="auto"/>
            <w:bottom w:val="none" w:sz="0" w:space="0" w:color="auto"/>
            <w:right w:val="none" w:sz="0" w:space="0" w:color="auto"/>
          </w:divBdr>
        </w:div>
        <w:div w:id="864098453">
          <w:marLeft w:val="0"/>
          <w:marRight w:val="0"/>
          <w:marTop w:val="0"/>
          <w:marBottom w:val="0"/>
          <w:divBdr>
            <w:top w:val="none" w:sz="0" w:space="0" w:color="auto"/>
            <w:left w:val="none" w:sz="0" w:space="0" w:color="auto"/>
            <w:bottom w:val="none" w:sz="0" w:space="0" w:color="auto"/>
            <w:right w:val="none" w:sz="0" w:space="0" w:color="auto"/>
          </w:divBdr>
        </w:div>
        <w:div w:id="775446104">
          <w:marLeft w:val="0"/>
          <w:marRight w:val="0"/>
          <w:marTop w:val="0"/>
          <w:marBottom w:val="0"/>
          <w:divBdr>
            <w:top w:val="none" w:sz="0" w:space="0" w:color="auto"/>
            <w:left w:val="none" w:sz="0" w:space="0" w:color="auto"/>
            <w:bottom w:val="none" w:sz="0" w:space="0" w:color="auto"/>
            <w:right w:val="none" w:sz="0" w:space="0" w:color="auto"/>
          </w:divBdr>
        </w:div>
        <w:div w:id="1752580711">
          <w:marLeft w:val="0"/>
          <w:marRight w:val="0"/>
          <w:marTop w:val="0"/>
          <w:marBottom w:val="0"/>
          <w:divBdr>
            <w:top w:val="none" w:sz="0" w:space="0" w:color="auto"/>
            <w:left w:val="none" w:sz="0" w:space="0" w:color="auto"/>
            <w:bottom w:val="none" w:sz="0" w:space="0" w:color="auto"/>
            <w:right w:val="none" w:sz="0" w:space="0" w:color="auto"/>
          </w:divBdr>
        </w:div>
        <w:div w:id="131103042">
          <w:marLeft w:val="0"/>
          <w:marRight w:val="0"/>
          <w:marTop w:val="0"/>
          <w:marBottom w:val="0"/>
          <w:divBdr>
            <w:top w:val="none" w:sz="0" w:space="0" w:color="auto"/>
            <w:left w:val="none" w:sz="0" w:space="0" w:color="auto"/>
            <w:bottom w:val="none" w:sz="0" w:space="0" w:color="auto"/>
            <w:right w:val="none" w:sz="0" w:space="0" w:color="auto"/>
          </w:divBdr>
        </w:div>
        <w:div w:id="2028408821">
          <w:marLeft w:val="0"/>
          <w:marRight w:val="0"/>
          <w:marTop w:val="0"/>
          <w:marBottom w:val="0"/>
          <w:divBdr>
            <w:top w:val="none" w:sz="0" w:space="0" w:color="auto"/>
            <w:left w:val="none" w:sz="0" w:space="0" w:color="auto"/>
            <w:bottom w:val="none" w:sz="0" w:space="0" w:color="auto"/>
            <w:right w:val="none" w:sz="0" w:space="0" w:color="auto"/>
          </w:divBdr>
        </w:div>
        <w:div w:id="667564950">
          <w:marLeft w:val="0"/>
          <w:marRight w:val="0"/>
          <w:marTop w:val="0"/>
          <w:marBottom w:val="0"/>
          <w:divBdr>
            <w:top w:val="none" w:sz="0" w:space="0" w:color="auto"/>
            <w:left w:val="none" w:sz="0" w:space="0" w:color="auto"/>
            <w:bottom w:val="none" w:sz="0" w:space="0" w:color="auto"/>
            <w:right w:val="none" w:sz="0" w:space="0" w:color="auto"/>
          </w:divBdr>
        </w:div>
        <w:div w:id="142739081">
          <w:marLeft w:val="0"/>
          <w:marRight w:val="0"/>
          <w:marTop w:val="0"/>
          <w:marBottom w:val="0"/>
          <w:divBdr>
            <w:top w:val="none" w:sz="0" w:space="0" w:color="auto"/>
            <w:left w:val="none" w:sz="0" w:space="0" w:color="auto"/>
            <w:bottom w:val="none" w:sz="0" w:space="0" w:color="auto"/>
            <w:right w:val="none" w:sz="0" w:space="0" w:color="auto"/>
          </w:divBdr>
        </w:div>
        <w:div w:id="1102384648">
          <w:marLeft w:val="0"/>
          <w:marRight w:val="0"/>
          <w:marTop w:val="0"/>
          <w:marBottom w:val="0"/>
          <w:divBdr>
            <w:top w:val="none" w:sz="0" w:space="0" w:color="auto"/>
            <w:left w:val="none" w:sz="0" w:space="0" w:color="auto"/>
            <w:bottom w:val="none" w:sz="0" w:space="0" w:color="auto"/>
            <w:right w:val="none" w:sz="0" w:space="0" w:color="auto"/>
          </w:divBdr>
        </w:div>
        <w:div w:id="170855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g38cEo3iC9S9Vv5I8hUF2e-lpiUc398QVgnaxhE2T1E/edit?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2EC0-E23B-4CB6-9D6D-C40074E3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Heather</dc:creator>
  <cp:keywords/>
  <dc:description/>
  <cp:lastModifiedBy>Brauburger, Analea</cp:lastModifiedBy>
  <cp:revision>7</cp:revision>
  <dcterms:created xsi:type="dcterms:W3CDTF">2016-12-05T18:52:00Z</dcterms:created>
  <dcterms:modified xsi:type="dcterms:W3CDTF">2017-01-17T17:00:00Z</dcterms:modified>
</cp:coreProperties>
</file>