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05" w:rsidRDefault="00CA0305" w:rsidP="00CA0305">
      <w:pPr>
        <w:rPr>
          <w:rFonts w:cstheme="minorHAnsi"/>
          <w:b/>
          <w:sz w:val="32"/>
          <w:szCs w:val="32"/>
        </w:rPr>
      </w:pPr>
      <w:r>
        <w:rPr>
          <w:rFonts w:cstheme="minorHAnsi"/>
          <w:b/>
          <w:sz w:val="32"/>
          <w:szCs w:val="32"/>
        </w:rPr>
        <w:t>NATURAL SCIENCE:</w:t>
      </w:r>
    </w:p>
    <w:p w:rsidR="00CA0305" w:rsidRPr="00175745" w:rsidRDefault="00CA0305" w:rsidP="00CA0305">
      <w:pPr>
        <w:rPr>
          <w:rFonts w:cstheme="minorHAnsi"/>
          <w:b/>
          <w:sz w:val="32"/>
          <w:szCs w:val="32"/>
        </w:rPr>
      </w:pPr>
      <w:bookmarkStart w:id="0" w:name="_GoBack"/>
      <w:bookmarkEnd w:id="0"/>
      <w:r w:rsidRPr="00175745">
        <w:rPr>
          <w:rFonts w:cstheme="minorHAnsi"/>
          <w:b/>
          <w:sz w:val="32"/>
          <w:szCs w:val="32"/>
        </w:rPr>
        <w:t>Science and Engineering Program (CAPE and BEECh Departments)</w:t>
      </w:r>
    </w:p>
    <w:p w:rsidR="00CA0305" w:rsidRPr="00175745" w:rsidRDefault="00CA0305" w:rsidP="00CA0305">
      <w:pPr>
        <w:rPr>
          <w:rFonts w:cstheme="minorHAnsi"/>
          <w:b/>
          <w:sz w:val="32"/>
          <w:szCs w:val="32"/>
        </w:rPr>
      </w:pPr>
      <w:r w:rsidRPr="00175745">
        <w:rPr>
          <w:rFonts w:cstheme="minorHAnsi"/>
          <w:b/>
          <w:sz w:val="32"/>
          <w:szCs w:val="32"/>
        </w:rPr>
        <w:t>Annual Program Review for 2017-2018 Academic Year</w:t>
      </w:r>
    </w:p>
    <w:p w:rsidR="00CA0305" w:rsidRDefault="00CA0305" w:rsidP="00CA0305">
      <w:pPr>
        <w:rPr>
          <w:rFonts w:cstheme="minorHAnsi"/>
          <w:b/>
          <w:sz w:val="28"/>
          <w:szCs w:val="28"/>
        </w:rPr>
      </w:pPr>
    </w:p>
    <w:p w:rsidR="00CA0305" w:rsidRDefault="00CA0305" w:rsidP="00CA0305">
      <w:pPr>
        <w:rPr>
          <w:rFonts w:cstheme="minorHAnsi"/>
          <w:b/>
          <w:sz w:val="28"/>
          <w:szCs w:val="28"/>
        </w:rPr>
      </w:pPr>
    </w:p>
    <w:p w:rsidR="00CA0305" w:rsidRPr="005C52E8" w:rsidRDefault="00CA0305" w:rsidP="00CA0305">
      <w:pPr>
        <w:rPr>
          <w:rFonts w:cstheme="minorHAnsi"/>
          <w:b/>
          <w:sz w:val="28"/>
          <w:szCs w:val="28"/>
        </w:rPr>
      </w:pPr>
      <w:r w:rsidRPr="005C52E8">
        <w:rPr>
          <w:rFonts w:cstheme="minorHAnsi"/>
          <w:b/>
          <w:sz w:val="28"/>
          <w:szCs w:val="28"/>
        </w:rPr>
        <w:t>Part III: Assessment</w:t>
      </w:r>
    </w:p>
    <w:p w:rsidR="00CA0305" w:rsidRPr="005C52E8" w:rsidRDefault="00CA0305" w:rsidP="00CA0305">
      <w:pPr>
        <w:rPr>
          <w:rFonts w:cstheme="minorHAnsi"/>
          <w:b/>
          <w:sz w:val="28"/>
          <w:szCs w:val="28"/>
        </w:rPr>
      </w:pPr>
    </w:p>
    <w:p w:rsidR="00CA0305" w:rsidRPr="005C52E8" w:rsidRDefault="00CA0305" w:rsidP="00CA0305">
      <w:pPr>
        <w:rPr>
          <w:rFonts w:cstheme="minorHAnsi"/>
          <w:b/>
          <w:sz w:val="28"/>
          <w:szCs w:val="28"/>
        </w:rPr>
      </w:pPr>
      <w:r w:rsidRPr="005C52E8">
        <w:rPr>
          <w:rFonts w:cstheme="minorHAnsi"/>
          <w:b/>
          <w:sz w:val="28"/>
          <w:szCs w:val="28"/>
        </w:rPr>
        <w:t>PLO Assessment Project Plan for 2017-2018</w:t>
      </w:r>
    </w:p>
    <w:p w:rsidR="00CA0305" w:rsidRPr="00175745" w:rsidRDefault="00CA0305" w:rsidP="00CA0305">
      <w:pPr>
        <w:pStyle w:val="ListParagraph"/>
        <w:numPr>
          <w:ilvl w:val="0"/>
          <w:numId w:val="2"/>
        </w:numPr>
        <w:rPr>
          <w:rFonts w:cstheme="minorHAnsi"/>
        </w:rPr>
      </w:pPr>
      <w:r w:rsidRPr="00175745">
        <w:rPr>
          <w:rFonts w:cstheme="minorHAnsi"/>
          <w:b/>
        </w:rPr>
        <w:t xml:space="preserve">PLOs assessed: </w:t>
      </w:r>
      <w:r w:rsidRPr="00175745">
        <w:rPr>
          <w:rFonts w:cstheme="minorHAnsi"/>
        </w:rPr>
        <w:t>During Spring of 2018, our department developed a five-year assessment plan for our natural science PLOs (See Appendix A).   For 2017-2018, we assessed the following PLOs:</w:t>
      </w:r>
    </w:p>
    <w:p w:rsidR="00CA0305" w:rsidRPr="00175745" w:rsidRDefault="00CA0305" w:rsidP="00CA0305">
      <w:pPr>
        <w:autoSpaceDE w:val="0"/>
        <w:autoSpaceDN w:val="0"/>
        <w:adjustRightInd w:val="0"/>
        <w:rPr>
          <w:rFonts w:cstheme="minorHAnsi"/>
          <w:i/>
          <w:iCs/>
          <w:color w:val="538135" w:themeColor="accent6" w:themeShade="BF"/>
        </w:rPr>
      </w:pPr>
      <w:r w:rsidRPr="00175745">
        <w:rPr>
          <w:rFonts w:cstheme="minorHAnsi"/>
          <w:i/>
          <w:iCs/>
          <w:color w:val="538135" w:themeColor="accent6" w:themeShade="BF"/>
        </w:rPr>
        <w:t>PLO 3: Communicate the primary principles and processes underlying at least one natural system</w:t>
      </w:r>
    </w:p>
    <w:p w:rsidR="00CA0305" w:rsidRDefault="00CA0305" w:rsidP="00CA0305">
      <w:pPr>
        <w:autoSpaceDE w:val="0"/>
        <w:autoSpaceDN w:val="0"/>
        <w:adjustRightInd w:val="0"/>
        <w:rPr>
          <w:rFonts w:cstheme="minorHAnsi"/>
          <w:i/>
          <w:iCs/>
          <w:color w:val="833C0B"/>
        </w:rPr>
      </w:pPr>
      <w:r w:rsidRPr="00175745">
        <w:rPr>
          <w:rFonts w:cstheme="minorHAnsi"/>
          <w:i/>
          <w:iCs/>
          <w:color w:val="833C0B"/>
        </w:rPr>
        <w:t>PLO 5: Demonstrate safe and proper use of scientific instrumentation, measuring devices, chemical reagents, media, and/or other tools of science in a laboratory or field setting relevant to specific disciplines of science</w:t>
      </w:r>
    </w:p>
    <w:p w:rsidR="00CA0305" w:rsidRPr="00175745" w:rsidRDefault="00CA0305" w:rsidP="00CA0305">
      <w:pPr>
        <w:autoSpaceDE w:val="0"/>
        <w:autoSpaceDN w:val="0"/>
        <w:adjustRightInd w:val="0"/>
        <w:rPr>
          <w:rFonts w:cstheme="minorHAnsi"/>
          <w:i/>
          <w:iCs/>
          <w:color w:val="833C0B"/>
        </w:rPr>
      </w:pPr>
    </w:p>
    <w:p w:rsidR="00CA0305" w:rsidRPr="00175745" w:rsidRDefault="00CA0305" w:rsidP="00CA0305">
      <w:pPr>
        <w:pStyle w:val="ListParagraph"/>
        <w:numPr>
          <w:ilvl w:val="0"/>
          <w:numId w:val="2"/>
        </w:numPr>
        <w:autoSpaceDE w:val="0"/>
        <w:autoSpaceDN w:val="0"/>
        <w:adjustRightInd w:val="0"/>
        <w:rPr>
          <w:rFonts w:cstheme="minorHAnsi"/>
          <w:b/>
          <w:iCs/>
        </w:rPr>
      </w:pPr>
      <w:r w:rsidRPr="00175745">
        <w:rPr>
          <w:rFonts w:cstheme="minorHAnsi"/>
          <w:b/>
          <w:iCs/>
        </w:rPr>
        <w:t xml:space="preserve">Description of assessment method: </w:t>
      </w:r>
    </w:p>
    <w:p w:rsidR="00CA0305" w:rsidRPr="00175745" w:rsidRDefault="00CA0305" w:rsidP="00CA0305">
      <w:pPr>
        <w:autoSpaceDE w:val="0"/>
        <w:autoSpaceDN w:val="0"/>
        <w:adjustRightInd w:val="0"/>
        <w:rPr>
          <w:rFonts w:cstheme="minorHAnsi"/>
          <w:i/>
          <w:iCs/>
          <w:color w:val="538135" w:themeColor="accent6" w:themeShade="BF"/>
        </w:rPr>
      </w:pPr>
      <w:r w:rsidRPr="00175745">
        <w:rPr>
          <w:rFonts w:cstheme="minorHAnsi"/>
          <w:i/>
          <w:iCs/>
          <w:color w:val="538135" w:themeColor="accent6" w:themeShade="BF"/>
        </w:rPr>
        <w:t>PLO 3: The national HAPS exam is given at the end of BIOL</w:t>
      </w:r>
      <w:r>
        <w:rPr>
          <w:rFonts w:cstheme="minorHAnsi"/>
          <w:i/>
          <w:iCs/>
          <w:color w:val="538135" w:themeColor="accent6" w:themeShade="BF"/>
        </w:rPr>
        <w:t>&amp;</w:t>
      </w:r>
      <w:r w:rsidRPr="00175745">
        <w:rPr>
          <w:rFonts w:cstheme="minorHAnsi"/>
          <w:i/>
          <w:iCs/>
          <w:color w:val="538135" w:themeColor="accent6" w:themeShade="BF"/>
        </w:rPr>
        <w:t xml:space="preserve"> 242 each quarter to all sections.  All sections of BIOL</w:t>
      </w:r>
      <w:r>
        <w:rPr>
          <w:rFonts w:cstheme="minorHAnsi"/>
          <w:i/>
          <w:iCs/>
          <w:color w:val="538135" w:themeColor="accent6" w:themeShade="BF"/>
        </w:rPr>
        <w:t>&amp;</w:t>
      </w:r>
      <w:r w:rsidRPr="00175745">
        <w:rPr>
          <w:rFonts w:cstheme="minorHAnsi"/>
          <w:i/>
          <w:iCs/>
          <w:color w:val="538135" w:themeColor="accent6" w:themeShade="BF"/>
        </w:rPr>
        <w:t xml:space="preserve"> 160 participate in a common final exam.  All sections of CHEM</w:t>
      </w:r>
      <w:r>
        <w:rPr>
          <w:rFonts w:cstheme="minorHAnsi"/>
          <w:i/>
          <w:iCs/>
          <w:color w:val="538135" w:themeColor="accent6" w:themeShade="BF"/>
        </w:rPr>
        <w:t>&amp;</w:t>
      </w:r>
      <w:r w:rsidRPr="00175745">
        <w:rPr>
          <w:rFonts w:cstheme="minorHAnsi"/>
          <w:i/>
          <w:iCs/>
          <w:color w:val="538135" w:themeColor="accent6" w:themeShade="BF"/>
        </w:rPr>
        <w:t xml:space="preserve"> 163 and CHEM</w:t>
      </w:r>
      <w:r>
        <w:rPr>
          <w:rFonts w:cstheme="minorHAnsi"/>
          <w:i/>
          <w:iCs/>
          <w:color w:val="538135" w:themeColor="accent6" w:themeShade="BF"/>
        </w:rPr>
        <w:t>&amp;</w:t>
      </w:r>
      <w:r w:rsidRPr="00175745">
        <w:rPr>
          <w:rFonts w:cstheme="minorHAnsi"/>
          <w:i/>
          <w:iCs/>
          <w:color w:val="538135" w:themeColor="accent6" w:themeShade="BF"/>
        </w:rPr>
        <w:t xml:space="preserve"> 263 take the ACS national exams.  All astronomy sections will take the same online final exam each quarter.  </w:t>
      </w:r>
    </w:p>
    <w:p w:rsidR="00CA0305" w:rsidRPr="00175745" w:rsidRDefault="00CA0305" w:rsidP="00CA0305">
      <w:pPr>
        <w:autoSpaceDE w:val="0"/>
        <w:autoSpaceDN w:val="0"/>
        <w:adjustRightInd w:val="0"/>
        <w:rPr>
          <w:rFonts w:cstheme="minorHAnsi"/>
          <w:i/>
          <w:iCs/>
          <w:color w:val="993300"/>
        </w:rPr>
      </w:pPr>
      <w:r w:rsidRPr="00175745">
        <w:rPr>
          <w:rFonts w:cstheme="minorHAnsi"/>
          <w:i/>
          <w:iCs/>
          <w:color w:val="993300"/>
        </w:rPr>
        <w:t>PLO 5: Biology lab technicians will collect and analyze data on proper microscope care and storage. Chemistry lab technicians will document all accidents/spills/etc of all chemistry reagents in all chemistry classes.</w:t>
      </w:r>
    </w:p>
    <w:p w:rsidR="00CA0305" w:rsidRDefault="00CA0305" w:rsidP="00CA0305">
      <w:pPr>
        <w:pStyle w:val="ListParagraph"/>
        <w:numPr>
          <w:ilvl w:val="0"/>
          <w:numId w:val="2"/>
        </w:numPr>
        <w:rPr>
          <w:rFonts w:cstheme="minorHAnsi"/>
          <w:b/>
          <w:iCs/>
        </w:rPr>
      </w:pPr>
      <w:r w:rsidRPr="00175745">
        <w:rPr>
          <w:rFonts w:cstheme="minorHAnsi"/>
          <w:b/>
          <w:iCs/>
        </w:rPr>
        <w:t>Results for PLO3:</w:t>
      </w:r>
    </w:p>
    <w:p w:rsidR="00CA0305" w:rsidRPr="00175745" w:rsidRDefault="00CA0305" w:rsidP="00CA0305">
      <w:pPr>
        <w:pStyle w:val="ListParagraph"/>
        <w:ind w:left="1080"/>
        <w:rPr>
          <w:rFonts w:cstheme="minorHAnsi"/>
          <w:b/>
          <w:iCs/>
        </w:rPr>
      </w:pPr>
    </w:p>
    <w:p w:rsidR="00CA0305" w:rsidRDefault="00CA0305" w:rsidP="00CA0305">
      <w:pPr>
        <w:pStyle w:val="NormalWeb"/>
        <w:numPr>
          <w:ilvl w:val="1"/>
          <w:numId w:val="1"/>
        </w:numPr>
        <w:shd w:val="clear" w:color="auto" w:fill="FFFFFF"/>
        <w:rPr>
          <w:rFonts w:asciiTheme="minorHAnsi" w:hAnsiTheme="minorHAnsi" w:cstheme="minorHAnsi"/>
        </w:rPr>
      </w:pPr>
      <w:r w:rsidRPr="00175745">
        <w:rPr>
          <w:rFonts w:asciiTheme="minorHAnsi" w:hAnsiTheme="minorHAnsi" w:cstheme="minorHAnsi"/>
          <w:b/>
        </w:rPr>
        <w:t xml:space="preserve">Overview: </w:t>
      </w:r>
      <w:r w:rsidRPr="00175745">
        <w:rPr>
          <w:rFonts w:asciiTheme="minorHAnsi" w:hAnsiTheme="minorHAnsi" w:cstheme="minorHAnsi"/>
        </w:rPr>
        <w:t xml:space="preserve"> The BEECh Department uses nationally standardized exams in four of its courses:  BIOL&amp; 242 (Anatomy and Physiology 2), CHEM</w:t>
      </w:r>
      <w:r>
        <w:rPr>
          <w:rFonts w:asciiTheme="minorHAnsi" w:hAnsiTheme="minorHAnsi" w:cstheme="minorHAnsi"/>
        </w:rPr>
        <w:t>&amp;</w:t>
      </w:r>
      <w:r w:rsidRPr="00175745">
        <w:rPr>
          <w:rFonts w:asciiTheme="minorHAnsi" w:hAnsiTheme="minorHAnsi" w:cstheme="minorHAnsi"/>
        </w:rPr>
        <w:t xml:space="preserve"> 121 (Introduction to Inorganic Chemistry), CHEM&amp; 163 (General Chemistry III), and CHEM&amp; 263 (Organic Chemistry III).  In all disciplines we are well-above the national average, indicating that our students compete well with their peers, including those in four-year institutions. We are additionally proud of the fact that we have managed to maintain excellence even as our FTEs and number of students has increased over time.</w:t>
      </w:r>
    </w:p>
    <w:p w:rsidR="00CA0305" w:rsidRPr="00175745" w:rsidRDefault="00CA0305" w:rsidP="00CA0305">
      <w:pPr>
        <w:pStyle w:val="NormalWeb"/>
        <w:shd w:val="clear" w:color="auto" w:fill="FFFFFF"/>
        <w:ind w:left="1440"/>
        <w:rPr>
          <w:rFonts w:asciiTheme="minorHAnsi" w:hAnsiTheme="minorHAnsi" w:cstheme="minorHAnsi"/>
        </w:rPr>
      </w:pPr>
    </w:p>
    <w:p w:rsidR="00CA0305" w:rsidRPr="00175745" w:rsidRDefault="00CA0305" w:rsidP="00CA0305">
      <w:pPr>
        <w:pStyle w:val="NormalWeb"/>
        <w:numPr>
          <w:ilvl w:val="1"/>
          <w:numId w:val="1"/>
        </w:numPr>
        <w:shd w:val="clear" w:color="auto" w:fill="FFFFFF"/>
        <w:rPr>
          <w:rFonts w:asciiTheme="minorHAnsi" w:hAnsiTheme="minorHAnsi" w:cstheme="minorHAnsi"/>
        </w:rPr>
      </w:pPr>
      <w:r w:rsidRPr="00175745">
        <w:rPr>
          <w:rFonts w:asciiTheme="minorHAnsi" w:hAnsiTheme="minorHAnsi" w:cstheme="minorHAnsi"/>
          <w:b/>
        </w:rPr>
        <w:t>HAPS exam</w:t>
      </w:r>
      <w:r>
        <w:rPr>
          <w:rFonts w:asciiTheme="minorHAnsi" w:hAnsiTheme="minorHAnsi" w:cstheme="minorHAnsi"/>
          <w:b/>
        </w:rPr>
        <w:t>:</w:t>
      </w:r>
      <w:r w:rsidRPr="00175745">
        <w:rPr>
          <w:rFonts w:asciiTheme="minorHAnsi" w:hAnsiTheme="minorHAnsi" w:cstheme="minorHAnsi"/>
          <w:noProof/>
        </w:rPr>
        <w:t xml:space="preserve"> Our goal is to have a strong science program that prepares students well for success in future courses and careers.  To assess our strengths in preparing students in the pre-Allied Health area we have been administering the Human Anatomy &amp; Physiology national standardized exam since winter 2010.  In that time more than 2500 students have completed the courses and taken the exam with a TCC cumulative average in that time of 57. This compares extremely favorably to the national average of 52.9.  The big gap in this area is the difference in student learning between those taught by full time faculty where the average is 61.5 and the adjunct faculty average which is 51.4.  This ten percent gap in student learning is due to the fact that it is extremely difficult to hire and retain qualified faculty in this area.  We frequently must hire faculty with no teaching experience or who we know have low averages because we have fully enrolled classes with no qualified instructors to teach them.  </w:t>
      </w:r>
    </w:p>
    <w:p w:rsidR="00CA0305" w:rsidRPr="00175745" w:rsidRDefault="00CA0305" w:rsidP="00CA0305">
      <w:pPr>
        <w:pStyle w:val="ListParagraph"/>
        <w:rPr>
          <w:rFonts w:cstheme="minorHAnsi"/>
          <w:noProof/>
        </w:rPr>
      </w:pPr>
    </w:p>
    <w:p w:rsidR="00CA0305" w:rsidRPr="00175745" w:rsidRDefault="00CA0305" w:rsidP="00CA0305">
      <w:pPr>
        <w:pStyle w:val="ListParagraph"/>
        <w:rPr>
          <w:rFonts w:cstheme="minorHAnsi"/>
        </w:rPr>
      </w:pPr>
      <w:r w:rsidRPr="00175745">
        <w:rPr>
          <w:rFonts w:cstheme="minorHAnsi"/>
          <w:noProof/>
        </w:rPr>
        <w:drawing>
          <wp:inline distT="0" distB="0" distL="0" distR="0" wp14:anchorId="34239005" wp14:editId="5358E3A9">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CA0305" w:rsidRDefault="00CA0305" w:rsidP="00CA0305">
      <w:pPr>
        <w:pStyle w:val="NormalWeb"/>
        <w:shd w:val="clear" w:color="auto" w:fill="FFFFFF"/>
        <w:ind w:left="1440"/>
        <w:rPr>
          <w:rFonts w:asciiTheme="minorHAnsi" w:hAnsiTheme="minorHAnsi" w:cstheme="minorHAnsi"/>
          <w:b/>
        </w:rPr>
      </w:pPr>
    </w:p>
    <w:p w:rsidR="00CA0305" w:rsidRPr="00175745" w:rsidRDefault="00CA0305" w:rsidP="00CA0305">
      <w:pPr>
        <w:pStyle w:val="NormalWeb"/>
        <w:shd w:val="clear" w:color="auto" w:fill="FFFFFF"/>
        <w:ind w:left="1440"/>
        <w:rPr>
          <w:rFonts w:asciiTheme="minorHAnsi" w:hAnsiTheme="minorHAnsi" w:cstheme="minorHAnsi"/>
          <w:b/>
        </w:rPr>
      </w:pPr>
    </w:p>
    <w:p w:rsidR="00CA0305" w:rsidRPr="00175745" w:rsidRDefault="00CA0305" w:rsidP="00CA0305">
      <w:pPr>
        <w:pStyle w:val="NormalWeb"/>
        <w:numPr>
          <w:ilvl w:val="1"/>
          <w:numId w:val="1"/>
        </w:numPr>
        <w:shd w:val="clear" w:color="auto" w:fill="FFFFFF"/>
        <w:ind w:left="720"/>
        <w:rPr>
          <w:rFonts w:asciiTheme="minorHAnsi" w:hAnsiTheme="minorHAnsi" w:cstheme="minorHAnsi"/>
          <w:b/>
        </w:rPr>
      </w:pPr>
      <w:r w:rsidRPr="00175745">
        <w:rPr>
          <w:rFonts w:asciiTheme="minorHAnsi" w:hAnsiTheme="minorHAnsi" w:cstheme="minorHAnsi"/>
          <w:b/>
        </w:rPr>
        <w:t>National Exams for Chemistry</w:t>
      </w:r>
    </w:p>
    <w:p w:rsidR="00CA0305" w:rsidRPr="00175745" w:rsidRDefault="00CA0305" w:rsidP="00CA0305">
      <w:pPr>
        <w:pStyle w:val="ListParagraph"/>
        <w:rPr>
          <w:rFonts w:cstheme="minorHAnsi"/>
        </w:rPr>
      </w:pPr>
      <w:r w:rsidRPr="00175745">
        <w:rPr>
          <w:rFonts w:cstheme="minorHAnsi"/>
        </w:rPr>
        <w:t>Students in Chemistry also often take a cumulative national exam at the end of both year-long majors’ sequ</w:t>
      </w:r>
      <w:r>
        <w:rPr>
          <w:rFonts w:cstheme="minorHAnsi"/>
        </w:rPr>
        <w:t xml:space="preserve">ences in General Chemistry (CHEM&amp; 163), Organic Chemistry (CHEM&amp; 263), as well as after CHEM&amp; </w:t>
      </w:r>
      <w:r w:rsidRPr="00175745">
        <w:rPr>
          <w:rFonts w:cstheme="minorHAnsi"/>
        </w:rPr>
        <w:t>121 (Introduction to Inorganic Chemistry).  The exams were written by the American Chemical Society (ACS) and were standardized prior to our students taking the exam.  The results for the last five years are presented in the table below.  The scores are reported as the average percentile (with the national average as 50</w:t>
      </w:r>
      <w:r w:rsidRPr="00175745">
        <w:rPr>
          <w:rFonts w:cstheme="minorHAnsi"/>
          <w:vertAlign w:val="superscript"/>
        </w:rPr>
        <w:t>th</w:t>
      </w:r>
      <w:r w:rsidRPr="00175745">
        <w:rPr>
          <w:rFonts w:cstheme="minorHAnsi"/>
        </w:rPr>
        <w:t>-percentile).  While Not all Chemistry professors choose to use the ACS exam, the number of instructors giving it has increased recently.</w:t>
      </w:r>
    </w:p>
    <w:p w:rsidR="00CA0305" w:rsidRPr="00175745" w:rsidRDefault="00CA0305" w:rsidP="00CA0305">
      <w:pPr>
        <w:rPr>
          <w:rFonts w:cstheme="minorHAnsi"/>
        </w:rPr>
      </w:pPr>
    </w:p>
    <w:tbl>
      <w:tblPr>
        <w:tblStyle w:val="TableGrid"/>
        <w:tblW w:w="8700" w:type="dxa"/>
        <w:tblInd w:w="745" w:type="dxa"/>
        <w:tblLook w:val="04A0" w:firstRow="1" w:lastRow="0" w:firstColumn="1" w:lastColumn="0" w:noHBand="0" w:noVBand="1"/>
      </w:tblPr>
      <w:tblGrid>
        <w:gridCol w:w="1428"/>
        <w:gridCol w:w="2502"/>
        <w:gridCol w:w="2520"/>
        <w:gridCol w:w="2250"/>
      </w:tblGrid>
      <w:tr w:rsidR="00CA0305" w:rsidRPr="00175745" w:rsidTr="002F3C88">
        <w:tc>
          <w:tcPr>
            <w:tcW w:w="1428" w:type="dxa"/>
            <w:vAlign w:val="center"/>
          </w:tcPr>
          <w:p w:rsidR="00CA0305" w:rsidRPr="00175745" w:rsidRDefault="00CA0305" w:rsidP="002F3C88">
            <w:pPr>
              <w:rPr>
                <w:rFonts w:asciiTheme="minorHAnsi" w:hAnsiTheme="minorHAnsi" w:cstheme="minorHAnsi"/>
                <w:b/>
              </w:rPr>
            </w:pPr>
            <w:r w:rsidRPr="00175745">
              <w:rPr>
                <w:rFonts w:asciiTheme="minorHAnsi" w:hAnsiTheme="minorHAnsi" w:cstheme="minorHAnsi"/>
                <w:b/>
              </w:rPr>
              <w:t>Year</w:t>
            </w:r>
          </w:p>
        </w:tc>
        <w:tc>
          <w:tcPr>
            <w:tcW w:w="2502" w:type="dxa"/>
          </w:tcPr>
          <w:p w:rsidR="00CA0305" w:rsidRPr="00175745" w:rsidRDefault="00CA0305" w:rsidP="002F3C88">
            <w:pPr>
              <w:rPr>
                <w:rFonts w:asciiTheme="minorHAnsi" w:hAnsiTheme="minorHAnsi" w:cstheme="minorHAnsi"/>
                <w:b/>
              </w:rPr>
            </w:pPr>
            <w:r w:rsidRPr="00175745">
              <w:rPr>
                <w:rFonts w:asciiTheme="minorHAnsi" w:hAnsiTheme="minorHAnsi" w:cstheme="minorHAnsi"/>
                <w:b/>
              </w:rPr>
              <w:t>Intro to Inorganic Chemistry</w:t>
            </w:r>
          </w:p>
          <w:p w:rsidR="00CA0305" w:rsidRPr="00175745" w:rsidRDefault="00CA0305" w:rsidP="002F3C88">
            <w:pPr>
              <w:rPr>
                <w:rFonts w:asciiTheme="minorHAnsi" w:hAnsiTheme="minorHAnsi" w:cstheme="minorHAnsi"/>
                <w:b/>
              </w:rPr>
            </w:pPr>
            <w:r w:rsidRPr="00175745">
              <w:rPr>
                <w:rFonts w:asciiTheme="minorHAnsi" w:hAnsiTheme="minorHAnsi" w:cstheme="minorHAnsi"/>
                <w:b/>
              </w:rPr>
              <w:t>(CHEM</w:t>
            </w:r>
            <w:r>
              <w:rPr>
                <w:rFonts w:asciiTheme="minorHAnsi" w:hAnsiTheme="minorHAnsi" w:cstheme="minorHAnsi"/>
                <w:b/>
              </w:rPr>
              <w:t>&amp;</w:t>
            </w:r>
            <w:r w:rsidRPr="00175745">
              <w:rPr>
                <w:rFonts w:asciiTheme="minorHAnsi" w:hAnsiTheme="minorHAnsi" w:cstheme="minorHAnsi"/>
                <w:b/>
              </w:rPr>
              <w:t xml:space="preserve"> 121)*</w:t>
            </w:r>
          </w:p>
        </w:tc>
        <w:tc>
          <w:tcPr>
            <w:tcW w:w="2520" w:type="dxa"/>
            <w:vAlign w:val="center"/>
          </w:tcPr>
          <w:p w:rsidR="00CA0305" w:rsidRPr="00175745" w:rsidRDefault="00CA0305" w:rsidP="002F3C88">
            <w:pPr>
              <w:rPr>
                <w:rFonts w:asciiTheme="minorHAnsi" w:hAnsiTheme="minorHAnsi" w:cstheme="minorHAnsi"/>
                <w:b/>
              </w:rPr>
            </w:pPr>
            <w:r w:rsidRPr="00175745">
              <w:rPr>
                <w:rFonts w:asciiTheme="minorHAnsi" w:hAnsiTheme="minorHAnsi" w:cstheme="minorHAnsi"/>
                <w:b/>
              </w:rPr>
              <w:t>General Chemistry (CHEM</w:t>
            </w:r>
            <w:r>
              <w:rPr>
                <w:rFonts w:asciiTheme="minorHAnsi" w:hAnsiTheme="minorHAnsi" w:cstheme="minorHAnsi"/>
                <w:b/>
              </w:rPr>
              <w:t xml:space="preserve"> &amp;</w:t>
            </w:r>
            <w:r w:rsidRPr="00175745">
              <w:rPr>
                <w:rFonts w:asciiTheme="minorHAnsi" w:hAnsiTheme="minorHAnsi" w:cstheme="minorHAnsi"/>
                <w:b/>
              </w:rPr>
              <w:t>163)*</w:t>
            </w:r>
          </w:p>
        </w:tc>
        <w:tc>
          <w:tcPr>
            <w:tcW w:w="2250" w:type="dxa"/>
            <w:vAlign w:val="center"/>
          </w:tcPr>
          <w:p w:rsidR="00CA0305" w:rsidRPr="00175745" w:rsidRDefault="00CA0305" w:rsidP="002F3C88">
            <w:pPr>
              <w:rPr>
                <w:rFonts w:asciiTheme="minorHAnsi" w:hAnsiTheme="minorHAnsi" w:cstheme="minorHAnsi"/>
                <w:b/>
              </w:rPr>
            </w:pPr>
            <w:r w:rsidRPr="00175745">
              <w:rPr>
                <w:rFonts w:asciiTheme="minorHAnsi" w:hAnsiTheme="minorHAnsi" w:cstheme="minorHAnsi"/>
                <w:b/>
              </w:rPr>
              <w:t>Organic Chemistry (CHEM</w:t>
            </w:r>
            <w:r>
              <w:rPr>
                <w:rFonts w:asciiTheme="minorHAnsi" w:hAnsiTheme="minorHAnsi" w:cstheme="minorHAnsi"/>
                <w:b/>
              </w:rPr>
              <w:t xml:space="preserve"> &amp;</w:t>
            </w:r>
            <w:r w:rsidRPr="00175745">
              <w:rPr>
                <w:rFonts w:asciiTheme="minorHAnsi" w:hAnsiTheme="minorHAnsi" w:cstheme="minorHAnsi"/>
                <w:b/>
              </w:rPr>
              <w:t>263)</w:t>
            </w:r>
          </w:p>
        </w:tc>
      </w:tr>
      <w:tr w:rsidR="00CA0305" w:rsidRPr="00175745" w:rsidTr="002F3C88">
        <w:tc>
          <w:tcPr>
            <w:tcW w:w="1428" w:type="dxa"/>
            <w:vAlign w:val="center"/>
          </w:tcPr>
          <w:p w:rsidR="00CA0305" w:rsidRPr="00175745" w:rsidRDefault="00CA0305" w:rsidP="002F3C88">
            <w:pPr>
              <w:rPr>
                <w:rFonts w:asciiTheme="minorHAnsi" w:hAnsiTheme="minorHAnsi" w:cstheme="minorHAnsi"/>
              </w:rPr>
            </w:pPr>
            <w:r w:rsidRPr="00175745">
              <w:rPr>
                <w:rFonts w:asciiTheme="minorHAnsi" w:hAnsiTheme="minorHAnsi" w:cstheme="minorHAnsi"/>
              </w:rPr>
              <w:t>2011-12</w:t>
            </w:r>
          </w:p>
        </w:tc>
        <w:tc>
          <w:tcPr>
            <w:tcW w:w="2502" w:type="dxa"/>
            <w:shd w:val="clear" w:color="auto" w:fill="E7E6E6" w:themeFill="background2"/>
          </w:tcPr>
          <w:p w:rsidR="00CA0305" w:rsidRPr="00175745" w:rsidRDefault="00CA0305" w:rsidP="002F3C88">
            <w:pPr>
              <w:rPr>
                <w:rFonts w:asciiTheme="minorHAnsi" w:hAnsiTheme="minorHAnsi" w:cstheme="minorHAnsi"/>
              </w:rPr>
            </w:pPr>
          </w:p>
        </w:tc>
        <w:tc>
          <w:tcPr>
            <w:tcW w:w="2520" w:type="dxa"/>
            <w:vAlign w:val="center"/>
          </w:tcPr>
          <w:p w:rsidR="00CA0305" w:rsidRPr="00175745" w:rsidRDefault="00CA0305" w:rsidP="002F3C88">
            <w:pPr>
              <w:rPr>
                <w:rFonts w:asciiTheme="minorHAnsi" w:hAnsiTheme="minorHAnsi" w:cstheme="minorHAnsi"/>
              </w:rPr>
            </w:pPr>
            <w:r w:rsidRPr="00175745">
              <w:rPr>
                <w:rFonts w:asciiTheme="minorHAnsi" w:hAnsiTheme="minorHAnsi" w:cstheme="minorHAnsi"/>
              </w:rPr>
              <w:t>70</w:t>
            </w:r>
          </w:p>
        </w:tc>
        <w:tc>
          <w:tcPr>
            <w:tcW w:w="2250" w:type="dxa"/>
            <w:vAlign w:val="center"/>
          </w:tcPr>
          <w:p w:rsidR="00CA0305" w:rsidRPr="00175745" w:rsidRDefault="00CA0305" w:rsidP="002F3C88">
            <w:pPr>
              <w:rPr>
                <w:rFonts w:asciiTheme="minorHAnsi" w:hAnsiTheme="minorHAnsi" w:cstheme="minorHAnsi"/>
              </w:rPr>
            </w:pPr>
            <w:r w:rsidRPr="00175745">
              <w:rPr>
                <w:rFonts w:asciiTheme="minorHAnsi" w:hAnsiTheme="minorHAnsi" w:cstheme="minorHAnsi"/>
              </w:rPr>
              <w:t>75</w:t>
            </w:r>
          </w:p>
        </w:tc>
      </w:tr>
      <w:tr w:rsidR="00CA0305" w:rsidRPr="00175745" w:rsidTr="002F3C88">
        <w:tc>
          <w:tcPr>
            <w:tcW w:w="1428" w:type="dxa"/>
            <w:vAlign w:val="center"/>
          </w:tcPr>
          <w:p w:rsidR="00CA0305" w:rsidRPr="00175745" w:rsidRDefault="00CA0305" w:rsidP="002F3C88">
            <w:pPr>
              <w:rPr>
                <w:rFonts w:asciiTheme="minorHAnsi" w:hAnsiTheme="minorHAnsi" w:cstheme="minorHAnsi"/>
              </w:rPr>
            </w:pPr>
            <w:r w:rsidRPr="00175745">
              <w:rPr>
                <w:rFonts w:asciiTheme="minorHAnsi" w:hAnsiTheme="minorHAnsi" w:cstheme="minorHAnsi"/>
              </w:rPr>
              <w:t>2012-13</w:t>
            </w:r>
          </w:p>
        </w:tc>
        <w:tc>
          <w:tcPr>
            <w:tcW w:w="2502" w:type="dxa"/>
            <w:shd w:val="clear" w:color="auto" w:fill="E7E6E6" w:themeFill="background2"/>
          </w:tcPr>
          <w:p w:rsidR="00CA0305" w:rsidRPr="00175745" w:rsidRDefault="00CA0305" w:rsidP="002F3C88">
            <w:pPr>
              <w:rPr>
                <w:rFonts w:asciiTheme="minorHAnsi" w:hAnsiTheme="minorHAnsi" w:cstheme="minorHAnsi"/>
              </w:rPr>
            </w:pPr>
          </w:p>
        </w:tc>
        <w:tc>
          <w:tcPr>
            <w:tcW w:w="2520" w:type="dxa"/>
            <w:vAlign w:val="center"/>
          </w:tcPr>
          <w:p w:rsidR="00CA0305" w:rsidRPr="00175745" w:rsidRDefault="00CA0305" w:rsidP="002F3C88">
            <w:pPr>
              <w:rPr>
                <w:rFonts w:asciiTheme="minorHAnsi" w:hAnsiTheme="minorHAnsi" w:cstheme="minorHAnsi"/>
              </w:rPr>
            </w:pPr>
            <w:r w:rsidRPr="00175745">
              <w:rPr>
                <w:rFonts w:asciiTheme="minorHAnsi" w:hAnsiTheme="minorHAnsi" w:cstheme="minorHAnsi"/>
              </w:rPr>
              <w:t>71</w:t>
            </w:r>
          </w:p>
        </w:tc>
        <w:tc>
          <w:tcPr>
            <w:tcW w:w="2250" w:type="dxa"/>
            <w:vAlign w:val="center"/>
          </w:tcPr>
          <w:p w:rsidR="00CA0305" w:rsidRPr="00175745" w:rsidRDefault="00CA0305" w:rsidP="002F3C88">
            <w:pPr>
              <w:rPr>
                <w:rFonts w:asciiTheme="minorHAnsi" w:hAnsiTheme="minorHAnsi" w:cstheme="minorHAnsi"/>
              </w:rPr>
            </w:pPr>
            <w:r w:rsidRPr="00175745">
              <w:rPr>
                <w:rFonts w:asciiTheme="minorHAnsi" w:hAnsiTheme="minorHAnsi" w:cstheme="minorHAnsi"/>
              </w:rPr>
              <w:t>67</w:t>
            </w:r>
          </w:p>
        </w:tc>
      </w:tr>
      <w:tr w:rsidR="00CA0305" w:rsidRPr="00175745" w:rsidTr="002F3C88">
        <w:tc>
          <w:tcPr>
            <w:tcW w:w="1428" w:type="dxa"/>
            <w:vAlign w:val="center"/>
          </w:tcPr>
          <w:p w:rsidR="00CA0305" w:rsidRPr="00175745" w:rsidRDefault="00CA0305" w:rsidP="002F3C88">
            <w:pPr>
              <w:rPr>
                <w:rFonts w:asciiTheme="minorHAnsi" w:hAnsiTheme="minorHAnsi" w:cstheme="minorHAnsi"/>
              </w:rPr>
            </w:pPr>
            <w:r w:rsidRPr="00175745">
              <w:rPr>
                <w:rFonts w:asciiTheme="minorHAnsi" w:hAnsiTheme="minorHAnsi" w:cstheme="minorHAnsi"/>
              </w:rPr>
              <w:t>2013-14</w:t>
            </w:r>
          </w:p>
        </w:tc>
        <w:tc>
          <w:tcPr>
            <w:tcW w:w="2502" w:type="dxa"/>
            <w:shd w:val="clear" w:color="auto" w:fill="E7E6E6" w:themeFill="background2"/>
          </w:tcPr>
          <w:p w:rsidR="00CA0305" w:rsidRPr="00175745" w:rsidRDefault="00CA0305" w:rsidP="002F3C88">
            <w:pPr>
              <w:rPr>
                <w:rFonts w:asciiTheme="minorHAnsi" w:hAnsiTheme="minorHAnsi" w:cstheme="minorHAnsi"/>
              </w:rPr>
            </w:pPr>
          </w:p>
        </w:tc>
        <w:tc>
          <w:tcPr>
            <w:tcW w:w="2520" w:type="dxa"/>
            <w:vAlign w:val="center"/>
          </w:tcPr>
          <w:p w:rsidR="00CA0305" w:rsidRPr="00175745" w:rsidRDefault="00CA0305" w:rsidP="002F3C88">
            <w:pPr>
              <w:rPr>
                <w:rFonts w:asciiTheme="minorHAnsi" w:hAnsiTheme="minorHAnsi" w:cstheme="minorHAnsi"/>
              </w:rPr>
            </w:pPr>
            <w:r w:rsidRPr="00175745">
              <w:rPr>
                <w:rFonts w:asciiTheme="minorHAnsi" w:hAnsiTheme="minorHAnsi" w:cstheme="minorHAnsi"/>
              </w:rPr>
              <w:t>75</w:t>
            </w:r>
          </w:p>
        </w:tc>
        <w:tc>
          <w:tcPr>
            <w:tcW w:w="2250" w:type="dxa"/>
            <w:vAlign w:val="center"/>
          </w:tcPr>
          <w:p w:rsidR="00CA0305" w:rsidRPr="00175745" w:rsidRDefault="00CA0305" w:rsidP="002F3C88">
            <w:pPr>
              <w:rPr>
                <w:rFonts w:asciiTheme="minorHAnsi" w:hAnsiTheme="minorHAnsi" w:cstheme="minorHAnsi"/>
              </w:rPr>
            </w:pPr>
            <w:r w:rsidRPr="00175745">
              <w:rPr>
                <w:rFonts w:asciiTheme="minorHAnsi" w:hAnsiTheme="minorHAnsi" w:cstheme="minorHAnsi"/>
              </w:rPr>
              <w:t>72</w:t>
            </w:r>
          </w:p>
        </w:tc>
      </w:tr>
      <w:tr w:rsidR="00CA0305" w:rsidRPr="00175745" w:rsidTr="002F3C88">
        <w:tc>
          <w:tcPr>
            <w:tcW w:w="1428" w:type="dxa"/>
            <w:vAlign w:val="center"/>
          </w:tcPr>
          <w:p w:rsidR="00CA0305" w:rsidRPr="00175745" w:rsidRDefault="00CA0305" w:rsidP="002F3C88">
            <w:pPr>
              <w:rPr>
                <w:rFonts w:asciiTheme="minorHAnsi" w:hAnsiTheme="minorHAnsi" w:cstheme="minorHAnsi"/>
              </w:rPr>
            </w:pPr>
            <w:r w:rsidRPr="00175745">
              <w:rPr>
                <w:rFonts w:asciiTheme="minorHAnsi" w:hAnsiTheme="minorHAnsi" w:cstheme="minorHAnsi"/>
              </w:rPr>
              <w:t>2014-15</w:t>
            </w:r>
          </w:p>
        </w:tc>
        <w:tc>
          <w:tcPr>
            <w:tcW w:w="2502" w:type="dxa"/>
          </w:tcPr>
          <w:p w:rsidR="00CA0305" w:rsidRPr="00175745" w:rsidRDefault="00CA0305" w:rsidP="002F3C88">
            <w:pPr>
              <w:rPr>
                <w:rFonts w:asciiTheme="minorHAnsi" w:hAnsiTheme="minorHAnsi" w:cstheme="minorHAnsi"/>
              </w:rPr>
            </w:pPr>
            <w:r w:rsidRPr="00175745">
              <w:rPr>
                <w:rFonts w:asciiTheme="minorHAnsi" w:hAnsiTheme="minorHAnsi" w:cstheme="minorHAnsi"/>
              </w:rPr>
              <w:t>69 (W15)</w:t>
            </w:r>
          </w:p>
          <w:p w:rsidR="00CA0305" w:rsidRPr="00175745" w:rsidRDefault="00CA0305" w:rsidP="002F3C88">
            <w:pPr>
              <w:rPr>
                <w:rFonts w:asciiTheme="minorHAnsi" w:hAnsiTheme="minorHAnsi" w:cstheme="minorHAnsi"/>
              </w:rPr>
            </w:pPr>
            <w:r w:rsidRPr="00175745">
              <w:rPr>
                <w:rFonts w:asciiTheme="minorHAnsi" w:hAnsiTheme="minorHAnsi" w:cstheme="minorHAnsi"/>
              </w:rPr>
              <w:t>67 (Sp15)</w:t>
            </w:r>
          </w:p>
        </w:tc>
        <w:tc>
          <w:tcPr>
            <w:tcW w:w="2520" w:type="dxa"/>
            <w:shd w:val="clear" w:color="auto" w:fill="E7E6E6" w:themeFill="background2"/>
            <w:vAlign w:val="center"/>
          </w:tcPr>
          <w:p w:rsidR="00CA0305" w:rsidRPr="00175745" w:rsidRDefault="00CA0305" w:rsidP="002F3C88">
            <w:pPr>
              <w:rPr>
                <w:rFonts w:asciiTheme="minorHAnsi" w:hAnsiTheme="minorHAnsi" w:cstheme="minorHAnsi"/>
              </w:rPr>
            </w:pPr>
          </w:p>
        </w:tc>
        <w:tc>
          <w:tcPr>
            <w:tcW w:w="2250" w:type="dxa"/>
            <w:vAlign w:val="center"/>
          </w:tcPr>
          <w:p w:rsidR="00CA0305" w:rsidRPr="00175745" w:rsidRDefault="00CA0305" w:rsidP="002F3C88">
            <w:pPr>
              <w:rPr>
                <w:rFonts w:asciiTheme="minorHAnsi" w:hAnsiTheme="minorHAnsi" w:cstheme="minorHAnsi"/>
              </w:rPr>
            </w:pPr>
            <w:r w:rsidRPr="00175745">
              <w:rPr>
                <w:rFonts w:asciiTheme="minorHAnsi" w:hAnsiTheme="minorHAnsi" w:cstheme="minorHAnsi"/>
              </w:rPr>
              <w:t>68</w:t>
            </w:r>
          </w:p>
        </w:tc>
      </w:tr>
      <w:tr w:rsidR="00CA0305" w:rsidRPr="00175745" w:rsidTr="002F3C88">
        <w:tc>
          <w:tcPr>
            <w:tcW w:w="1428" w:type="dxa"/>
            <w:vAlign w:val="center"/>
          </w:tcPr>
          <w:p w:rsidR="00CA0305" w:rsidRPr="00175745" w:rsidRDefault="00CA0305" w:rsidP="002F3C88">
            <w:pPr>
              <w:rPr>
                <w:rFonts w:asciiTheme="minorHAnsi" w:hAnsiTheme="minorHAnsi" w:cstheme="minorHAnsi"/>
              </w:rPr>
            </w:pPr>
            <w:r w:rsidRPr="00175745">
              <w:rPr>
                <w:rFonts w:asciiTheme="minorHAnsi" w:hAnsiTheme="minorHAnsi" w:cstheme="minorHAnsi"/>
              </w:rPr>
              <w:t>2015-16</w:t>
            </w:r>
          </w:p>
        </w:tc>
        <w:tc>
          <w:tcPr>
            <w:tcW w:w="2502" w:type="dxa"/>
          </w:tcPr>
          <w:p w:rsidR="00CA0305" w:rsidRPr="00175745" w:rsidRDefault="00CA0305" w:rsidP="002F3C88">
            <w:pPr>
              <w:rPr>
                <w:rFonts w:asciiTheme="minorHAnsi" w:hAnsiTheme="minorHAnsi" w:cstheme="minorHAnsi"/>
              </w:rPr>
            </w:pPr>
            <w:r w:rsidRPr="00175745">
              <w:rPr>
                <w:rFonts w:asciiTheme="minorHAnsi" w:hAnsiTheme="minorHAnsi" w:cstheme="minorHAnsi"/>
              </w:rPr>
              <w:t>60 (F15)</w:t>
            </w:r>
          </w:p>
          <w:p w:rsidR="00CA0305" w:rsidRPr="00175745" w:rsidRDefault="00CA0305" w:rsidP="002F3C88">
            <w:pPr>
              <w:rPr>
                <w:rFonts w:asciiTheme="minorHAnsi" w:hAnsiTheme="minorHAnsi" w:cstheme="minorHAnsi"/>
              </w:rPr>
            </w:pPr>
            <w:r w:rsidRPr="00175745">
              <w:rPr>
                <w:rFonts w:asciiTheme="minorHAnsi" w:hAnsiTheme="minorHAnsi" w:cstheme="minorHAnsi"/>
              </w:rPr>
              <w:t>69 (W16)</w:t>
            </w:r>
          </w:p>
          <w:p w:rsidR="00CA0305" w:rsidRPr="00175745" w:rsidRDefault="00CA0305" w:rsidP="002F3C88">
            <w:pPr>
              <w:rPr>
                <w:rFonts w:asciiTheme="minorHAnsi" w:hAnsiTheme="minorHAnsi" w:cstheme="minorHAnsi"/>
              </w:rPr>
            </w:pPr>
            <w:r w:rsidRPr="00175745">
              <w:rPr>
                <w:rFonts w:asciiTheme="minorHAnsi" w:hAnsiTheme="minorHAnsi" w:cstheme="minorHAnsi"/>
              </w:rPr>
              <w:t>74 (Sp16)</w:t>
            </w:r>
          </w:p>
        </w:tc>
        <w:tc>
          <w:tcPr>
            <w:tcW w:w="2520" w:type="dxa"/>
            <w:shd w:val="clear" w:color="auto" w:fill="E7E6E6" w:themeFill="background2"/>
            <w:vAlign w:val="center"/>
          </w:tcPr>
          <w:p w:rsidR="00CA0305" w:rsidRPr="00175745" w:rsidRDefault="00CA0305" w:rsidP="002F3C88">
            <w:pPr>
              <w:rPr>
                <w:rFonts w:asciiTheme="minorHAnsi" w:hAnsiTheme="minorHAnsi" w:cstheme="minorHAnsi"/>
              </w:rPr>
            </w:pPr>
          </w:p>
        </w:tc>
        <w:tc>
          <w:tcPr>
            <w:tcW w:w="2250" w:type="dxa"/>
            <w:vAlign w:val="center"/>
          </w:tcPr>
          <w:p w:rsidR="00CA0305" w:rsidRPr="00175745" w:rsidRDefault="00CA0305" w:rsidP="002F3C88">
            <w:pPr>
              <w:rPr>
                <w:rFonts w:asciiTheme="minorHAnsi" w:hAnsiTheme="minorHAnsi" w:cstheme="minorHAnsi"/>
              </w:rPr>
            </w:pPr>
            <w:r w:rsidRPr="00175745">
              <w:rPr>
                <w:rFonts w:asciiTheme="minorHAnsi" w:hAnsiTheme="minorHAnsi" w:cstheme="minorHAnsi"/>
              </w:rPr>
              <w:t>69 (Sp16)</w:t>
            </w:r>
          </w:p>
          <w:p w:rsidR="00CA0305" w:rsidRPr="00175745" w:rsidRDefault="00CA0305" w:rsidP="002F3C88">
            <w:pPr>
              <w:rPr>
                <w:rFonts w:asciiTheme="minorHAnsi" w:hAnsiTheme="minorHAnsi" w:cstheme="minorHAnsi"/>
              </w:rPr>
            </w:pPr>
            <w:r w:rsidRPr="00175745">
              <w:rPr>
                <w:rFonts w:asciiTheme="minorHAnsi" w:hAnsiTheme="minorHAnsi" w:cstheme="minorHAnsi"/>
              </w:rPr>
              <w:t>71 (Su16)</w:t>
            </w:r>
          </w:p>
        </w:tc>
      </w:tr>
      <w:tr w:rsidR="00CA0305" w:rsidRPr="00175745" w:rsidTr="002F3C88">
        <w:tc>
          <w:tcPr>
            <w:tcW w:w="1428" w:type="dxa"/>
            <w:vAlign w:val="center"/>
          </w:tcPr>
          <w:p w:rsidR="00CA0305" w:rsidRPr="00175745" w:rsidRDefault="00CA0305" w:rsidP="002F3C88">
            <w:pPr>
              <w:rPr>
                <w:rFonts w:asciiTheme="minorHAnsi" w:hAnsiTheme="minorHAnsi" w:cstheme="minorHAnsi"/>
              </w:rPr>
            </w:pPr>
            <w:r w:rsidRPr="00175745">
              <w:rPr>
                <w:rFonts w:asciiTheme="minorHAnsi" w:hAnsiTheme="minorHAnsi" w:cstheme="minorHAnsi"/>
              </w:rPr>
              <w:t>2016-2017</w:t>
            </w:r>
          </w:p>
        </w:tc>
        <w:tc>
          <w:tcPr>
            <w:tcW w:w="2502" w:type="dxa"/>
          </w:tcPr>
          <w:p w:rsidR="00CA0305" w:rsidRPr="00175745" w:rsidRDefault="00CA0305" w:rsidP="002F3C88">
            <w:pPr>
              <w:rPr>
                <w:rFonts w:asciiTheme="minorHAnsi" w:hAnsiTheme="minorHAnsi" w:cstheme="minorHAnsi"/>
              </w:rPr>
            </w:pPr>
            <w:r w:rsidRPr="00175745">
              <w:rPr>
                <w:rFonts w:asciiTheme="minorHAnsi" w:hAnsiTheme="minorHAnsi" w:cstheme="minorHAnsi"/>
              </w:rPr>
              <w:t>72 (F16)</w:t>
            </w:r>
          </w:p>
          <w:p w:rsidR="00CA0305" w:rsidRPr="00175745" w:rsidRDefault="00CA0305" w:rsidP="002F3C88">
            <w:pPr>
              <w:rPr>
                <w:rFonts w:asciiTheme="minorHAnsi" w:hAnsiTheme="minorHAnsi" w:cstheme="minorHAnsi"/>
              </w:rPr>
            </w:pPr>
            <w:r w:rsidRPr="00175745">
              <w:rPr>
                <w:rFonts w:asciiTheme="minorHAnsi" w:hAnsiTheme="minorHAnsi" w:cstheme="minorHAnsi"/>
              </w:rPr>
              <w:t>76 (W17)</w:t>
            </w:r>
          </w:p>
          <w:p w:rsidR="00CA0305" w:rsidRPr="00175745" w:rsidRDefault="00CA0305" w:rsidP="002F3C88">
            <w:pPr>
              <w:rPr>
                <w:rFonts w:asciiTheme="minorHAnsi" w:hAnsiTheme="minorHAnsi" w:cstheme="minorHAnsi"/>
              </w:rPr>
            </w:pPr>
            <w:r w:rsidRPr="00175745">
              <w:rPr>
                <w:rFonts w:asciiTheme="minorHAnsi" w:hAnsiTheme="minorHAnsi" w:cstheme="minorHAnsi"/>
              </w:rPr>
              <w:t>79 (Sp17)</w:t>
            </w:r>
          </w:p>
          <w:p w:rsidR="00CA0305" w:rsidRPr="00175745" w:rsidRDefault="00CA0305" w:rsidP="002F3C88">
            <w:pPr>
              <w:rPr>
                <w:rFonts w:asciiTheme="minorHAnsi" w:hAnsiTheme="minorHAnsi" w:cstheme="minorHAnsi"/>
              </w:rPr>
            </w:pPr>
            <w:r w:rsidRPr="00175745">
              <w:rPr>
                <w:rFonts w:asciiTheme="minorHAnsi" w:hAnsiTheme="minorHAnsi" w:cstheme="minorHAnsi"/>
              </w:rPr>
              <w:t>79(Su17)</w:t>
            </w:r>
          </w:p>
        </w:tc>
        <w:tc>
          <w:tcPr>
            <w:tcW w:w="2520" w:type="dxa"/>
            <w:shd w:val="clear" w:color="auto" w:fill="auto"/>
            <w:vAlign w:val="center"/>
          </w:tcPr>
          <w:p w:rsidR="00CA0305" w:rsidRPr="00175745" w:rsidRDefault="00CA0305" w:rsidP="002F3C88">
            <w:pPr>
              <w:rPr>
                <w:rFonts w:asciiTheme="minorHAnsi" w:hAnsiTheme="minorHAnsi" w:cstheme="minorHAnsi"/>
              </w:rPr>
            </w:pPr>
            <w:r w:rsidRPr="00175745">
              <w:rPr>
                <w:rFonts w:asciiTheme="minorHAnsi" w:hAnsiTheme="minorHAnsi" w:cstheme="minorHAnsi"/>
              </w:rPr>
              <w:t>76 (F16)</w:t>
            </w:r>
          </w:p>
        </w:tc>
        <w:tc>
          <w:tcPr>
            <w:tcW w:w="2250" w:type="dxa"/>
            <w:vAlign w:val="center"/>
          </w:tcPr>
          <w:p w:rsidR="00CA0305" w:rsidRPr="00175745" w:rsidRDefault="00CA0305" w:rsidP="002F3C88">
            <w:pPr>
              <w:rPr>
                <w:rFonts w:asciiTheme="minorHAnsi" w:hAnsiTheme="minorHAnsi" w:cstheme="minorHAnsi"/>
              </w:rPr>
            </w:pPr>
            <w:r w:rsidRPr="00175745">
              <w:rPr>
                <w:rFonts w:asciiTheme="minorHAnsi" w:hAnsiTheme="minorHAnsi" w:cstheme="minorHAnsi"/>
              </w:rPr>
              <w:t>79 (Sp17)</w:t>
            </w:r>
          </w:p>
          <w:p w:rsidR="00CA0305" w:rsidRPr="00175745" w:rsidRDefault="00CA0305" w:rsidP="002F3C88">
            <w:pPr>
              <w:rPr>
                <w:rFonts w:asciiTheme="minorHAnsi" w:hAnsiTheme="minorHAnsi" w:cstheme="minorHAnsi"/>
              </w:rPr>
            </w:pPr>
            <w:r w:rsidRPr="00175745">
              <w:rPr>
                <w:rFonts w:asciiTheme="minorHAnsi" w:hAnsiTheme="minorHAnsi" w:cstheme="minorHAnsi"/>
              </w:rPr>
              <w:t>71 (Su17)</w:t>
            </w:r>
          </w:p>
        </w:tc>
      </w:tr>
      <w:tr w:rsidR="00CA0305" w:rsidRPr="00175745" w:rsidTr="002F3C88">
        <w:tc>
          <w:tcPr>
            <w:tcW w:w="1428" w:type="dxa"/>
            <w:vAlign w:val="center"/>
          </w:tcPr>
          <w:p w:rsidR="00CA0305" w:rsidRPr="00175745" w:rsidRDefault="00CA0305" w:rsidP="002F3C88">
            <w:pPr>
              <w:rPr>
                <w:rFonts w:asciiTheme="minorHAnsi" w:hAnsiTheme="minorHAnsi" w:cstheme="minorHAnsi"/>
              </w:rPr>
            </w:pPr>
            <w:r w:rsidRPr="00175745">
              <w:rPr>
                <w:rFonts w:asciiTheme="minorHAnsi" w:hAnsiTheme="minorHAnsi" w:cstheme="minorHAnsi"/>
              </w:rPr>
              <w:t>2017-2018</w:t>
            </w:r>
          </w:p>
        </w:tc>
        <w:tc>
          <w:tcPr>
            <w:tcW w:w="2502" w:type="dxa"/>
          </w:tcPr>
          <w:p w:rsidR="00CA0305" w:rsidRPr="00175745" w:rsidRDefault="00CA0305" w:rsidP="002F3C88">
            <w:pPr>
              <w:rPr>
                <w:rFonts w:asciiTheme="minorHAnsi" w:hAnsiTheme="minorHAnsi" w:cstheme="minorHAnsi"/>
              </w:rPr>
            </w:pPr>
            <w:r w:rsidRPr="00175745">
              <w:rPr>
                <w:rFonts w:asciiTheme="minorHAnsi" w:hAnsiTheme="minorHAnsi" w:cstheme="minorHAnsi"/>
              </w:rPr>
              <w:t>68 (F17)</w:t>
            </w:r>
          </w:p>
          <w:p w:rsidR="00CA0305" w:rsidRPr="00175745" w:rsidRDefault="00CA0305" w:rsidP="002F3C88">
            <w:pPr>
              <w:rPr>
                <w:rFonts w:asciiTheme="minorHAnsi" w:hAnsiTheme="minorHAnsi" w:cstheme="minorHAnsi"/>
              </w:rPr>
            </w:pPr>
            <w:r w:rsidRPr="00175745">
              <w:rPr>
                <w:rFonts w:asciiTheme="minorHAnsi" w:hAnsiTheme="minorHAnsi" w:cstheme="minorHAnsi"/>
              </w:rPr>
              <w:t>72 (W 18)</w:t>
            </w:r>
          </w:p>
          <w:p w:rsidR="00CA0305" w:rsidRPr="00175745" w:rsidRDefault="00CA0305" w:rsidP="002F3C88">
            <w:pPr>
              <w:rPr>
                <w:rFonts w:asciiTheme="minorHAnsi" w:hAnsiTheme="minorHAnsi" w:cstheme="minorHAnsi"/>
              </w:rPr>
            </w:pPr>
            <w:r w:rsidRPr="00175745">
              <w:rPr>
                <w:rFonts w:asciiTheme="minorHAnsi" w:hAnsiTheme="minorHAnsi" w:cstheme="minorHAnsi"/>
              </w:rPr>
              <w:t>60 (Sp 18)</w:t>
            </w:r>
          </w:p>
          <w:p w:rsidR="00CA0305" w:rsidRPr="00175745" w:rsidRDefault="00CA0305" w:rsidP="002F3C88">
            <w:pPr>
              <w:rPr>
                <w:rFonts w:asciiTheme="minorHAnsi" w:hAnsiTheme="minorHAnsi" w:cstheme="minorHAnsi"/>
              </w:rPr>
            </w:pPr>
            <w:r w:rsidRPr="00175745">
              <w:rPr>
                <w:rFonts w:asciiTheme="minorHAnsi" w:hAnsiTheme="minorHAnsi" w:cstheme="minorHAnsi"/>
              </w:rPr>
              <w:t>52 (Su 18)</w:t>
            </w:r>
          </w:p>
        </w:tc>
        <w:tc>
          <w:tcPr>
            <w:tcW w:w="2520" w:type="dxa"/>
            <w:shd w:val="clear" w:color="auto" w:fill="auto"/>
            <w:vAlign w:val="center"/>
          </w:tcPr>
          <w:p w:rsidR="00CA0305" w:rsidRPr="00175745" w:rsidRDefault="00CA0305" w:rsidP="002F3C88">
            <w:pPr>
              <w:rPr>
                <w:rFonts w:asciiTheme="minorHAnsi" w:hAnsiTheme="minorHAnsi" w:cstheme="minorHAnsi"/>
              </w:rPr>
            </w:pPr>
            <w:r w:rsidRPr="00175745">
              <w:rPr>
                <w:rFonts w:asciiTheme="minorHAnsi" w:hAnsiTheme="minorHAnsi" w:cstheme="minorHAnsi"/>
              </w:rPr>
              <w:t>58 (Sp 18)</w:t>
            </w:r>
          </w:p>
          <w:p w:rsidR="00CA0305" w:rsidRPr="00175745" w:rsidRDefault="00CA0305" w:rsidP="002F3C88">
            <w:pPr>
              <w:rPr>
                <w:rFonts w:asciiTheme="minorHAnsi" w:hAnsiTheme="minorHAnsi" w:cstheme="minorHAnsi"/>
              </w:rPr>
            </w:pPr>
            <w:r w:rsidRPr="00175745">
              <w:rPr>
                <w:rFonts w:asciiTheme="minorHAnsi" w:hAnsiTheme="minorHAnsi" w:cstheme="minorHAnsi"/>
              </w:rPr>
              <w:t>54 (Su 18)</w:t>
            </w:r>
          </w:p>
        </w:tc>
        <w:tc>
          <w:tcPr>
            <w:tcW w:w="2250" w:type="dxa"/>
            <w:vAlign w:val="center"/>
          </w:tcPr>
          <w:p w:rsidR="00CA0305" w:rsidRPr="00175745" w:rsidRDefault="00CA0305" w:rsidP="002F3C88">
            <w:pPr>
              <w:rPr>
                <w:rFonts w:asciiTheme="minorHAnsi" w:hAnsiTheme="minorHAnsi" w:cstheme="minorHAnsi"/>
              </w:rPr>
            </w:pPr>
            <w:r w:rsidRPr="00175745">
              <w:rPr>
                <w:rFonts w:asciiTheme="minorHAnsi" w:hAnsiTheme="minorHAnsi" w:cstheme="minorHAnsi"/>
              </w:rPr>
              <w:t>68 (Sp 18)</w:t>
            </w:r>
          </w:p>
          <w:p w:rsidR="00CA0305" w:rsidRPr="00175745" w:rsidRDefault="00CA0305" w:rsidP="002F3C88">
            <w:pPr>
              <w:rPr>
                <w:rFonts w:asciiTheme="minorHAnsi" w:hAnsiTheme="minorHAnsi" w:cstheme="minorHAnsi"/>
              </w:rPr>
            </w:pPr>
            <w:r w:rsidRPr="00175745">
              <w:rPr>
                <w:rFonts w:asciiTheme="minorHAnsi" w:hAnsiTheme="minorHAnsi" w:cstheme="minorHAnsi"/>
              </w:rPr>
              <w:t>54 (Su 18)</w:t>
            </w:r>
          </w:p>
        </w:tc>
      </w:tr>
    </w:tbl>
    <w:p w:rsidR="00CA0305" w:rsidRPr="00175745" w:rsidRDefault="00CA0305" w:rsidP="00CA0305">
      <w:pPr>
        <w:pStyle w:val="ListParagraph"/>
        <w:rPr>
          <w:rFonts w:cstheme="minorHAnsi"/>
        </w:rPr>
      </w:pPr>
      <w:r w:rsidRPr="00175745">
        <w:rPr>
          <w:rFonts w:cstheme="minorHAnsi"/>
        </w:rPr>
        <w:lastRenderedPageBreak/>
        <w:t>*Not all Chemistry professors choose to use the ACS exam.</w:t>
      </w:r>
    </w:p>
    <w:p w:rsidR="00CA0305" w:rsidRPr="00175745" w:rsidRDefault="00CA0305" w:rsidP="00CA0305">
      <w:pPr>
        <w:ind w:left="1440"/>
        <w:rPr>
          <w:rFonts w:cstheme="minorHAnsi"/>
        </w:rPr>
      </w:pPr>
    </w:p>
    <w:p w:rsidR="00CA0305" w:rsidRPr="005C52E8" w:rsidRDefault="00CA0305" w:rsidP="00CA0305">
      <w:pPr>
        <w:pStyle w:val="ListParagraph"/>
        <w:numPr>
          <w:ilvl w:val="1"/>
          <w:numId w:val="1"/>
        </w:numPr>
        <w:rPr>
          <w:rFonts w:cstheme="minorHAnsi"/>
          <w:b/>
        </w:rPr>
      </w:pPr>
      <w:r w:rsidRPr="00175745">
        <w:rPr>
          <w:rFonts w:cstheme="minorHAnsi"/>
          <w:b/>
        </w:rPr>
        <w:t>B</w:t>
      </w:r>
      <w:r>
        <w:rPr>
          <w:rFonts w:cstheme="minorHAnsi"/>
          <w:b/>
        </w:rPr>
        <w:t>IOL &amp;</w:t>
      </w:r>
      <w:r w:rsidRPr="00175745">
        <w:rPr>
          <w:rFonts w:cstheme="minorHAnsi"/>
          <w:b/>
        </w:rPr>
        <w:t>160 Common Final</w:t>
      </w:r>
      <w:r>
        <w:rPr>
          <w:rFonts w:cstheme="minorHAnsi"/>
          <w:b/>
        </w:rPr>
        <w:t xml:space="preserve">: </w:t>
      </w:r>
      <w:r w:rsidRPr="005C52E8">
        <w:rPr>
          <w:rFonts w:cstheme="minorHAnsi"/>
        </w:rPr>
        <w:t>Since Fall 2014, students in all sections of BIOL&amp;160 have been taking a common final exam.  The exam is given in Canvas, and the questions are pulled from test banks that we established for each of the outcomes for the course.  Each quarter, we summarize the data generated from the quiz statistics.  This information is used to help determine weaknesses and strengths in our curriculum.  We have been attempting to address inconsistencies in course grade and content mastery.  In the graph below, we expected to see a linear relationship between course grade and final exam score.  In general, we saw a good relationship between the two.  This shows that overall our students’ grades are good reflections of how well they know the material.</w:t>
      </w:r>
    </w:p>
    <w:p w:rsidR="00CA0305" w:rsidRPr="00175745" w:rsidRDefault="00CA0305" w:rsidP="00CA0305">
      <w:pPr>
        <w:pStyle w:val="ListParagraph"/>
        <w:rPr>
          <w:rFonts w:cstheme="minorHAnsi"/>
        </w:rPr>
      </w:pPr>
    </w:p>
    <w:p w:rsidR="00CA0305" w:rsidRPr="00175745" w:rsidRDefault="00CA0305" w:rsidP="00CA0305">
      <w:pPr>
        <w:pStyle w:val="ListParagraph"/>
        <w:rPr>
          <w:rFonts w:cstheme="minorHAnsi"/>
        </w:rPr>
      </w:pPr>
      <w:r w:rsidRPr="00175745">
        <w:rPr>
          <w:rFonts w:cstheme="minorHAnsi"/>
          <w:noProof/>
        </w:rPr>
        <w:drawing>
          <wp:inline distT="0" distB="0" distL="0" distR="0" wp14:anchorId="1422AE0D" wp14:editId="117BF288">
            <wp:extent cx="5810250" cy="36861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A0305" w:rsidRPr="00175745" w:rsidRDefault="00CA0305" w:rsidP="00CA0305">
      <w:pPr>
        <w:pStyle w:val="ListParagraph"/>
        <w:rPr>
          <w:rFonts w:cstheme="minorHAnsi"/>
        </w:rPr>
      </w:pPr>
    </w:p>
    <w:p w:rsidR="00CA0305" w:rsidRPr="00175745" w:rsidRDefault="00CA0305" w:rsidP="00CA0305">
      <w:pPr>
        <w:pStyle w:val="ListParagraph"/>
        <w:ind w:left="1440"/>
        <w:rPr>
          <w:rFonts w:cstheme="minorHAnsi"/>
        </w:rPr>
      </w:pPr>
      <w:r w:rsidRPr="00175745">
        <w:rPr>
          <w:rFonts w:cstheme="minorHAnsi"/>
        </w:rPr>
        <w:t>With so many of these sections offered per quarter, it is a difficult course to maintain consistency.  We strive to maintain standards between the sections to ensure that their grade is reflective of their content mastery.  The final exam gives us a tool to help address the consistency between sections, as we can compare score on the final exam with the grade in the course.  We had pretty good correlation between exam scores and pass rates.  The pass rate needs to be indicative of their content mastery for them to succeed in future courses.  An example of the Spring 2018 data shows some of the differences we have between sections.  Instructor #4 had a very small differential between their average score on the final, and their overall pass rate for the course (C or better).  In contrast, Instructor #5 had a similar average score on the final, but a much higher pass rate.  This suggests significant differences between the two sections in grading criteria.  With this information, we can work to help standardize our sections better.</w:t>
      </w:r>
    </w:p>
    <w:p w:rsidR="00CA0305" w:rsidRDefault="00CA0305" w:rsidP="00CA0305">
      <w:pPr>
        <w:pStyle w:val="ListParagraph"/>
        <w:rPr>
          <w:rFonts w:cstheme="minorHAnsi"/>
        </w:rPr>
      </w:pPr>
    </w:p>
    <w:p w:rsidR="00CA0305" w:rsidRDefault="00CA0305" w:rsidP="00CA0305">
      <w:pPr>
        <w:pStyle w:val="ListParagraph"/>
        <w:rPr>
          <w:rFonts w:cstheme="minorHAnsi"/>
        </w:rPr>
      </w:pPr>
    </w:p>
    <w:p w:rsidR="00CA0305" w:rsidRDefault="00CA0305" w:rsidP="00CA0305">
      <w:pPr>
        <w:pStyle w:val="ListParagraph"/>
        <w:rPr>
          <w:rFonts w:cstheme="minorHAnsi"/>
        </w:rPr>
      </w:pPr>
    </w:p>
    <w:p w:rsidR="00CA0305" w:rsidRDefault="00CA0305" w:rsidP="00CA0305">
      <w:pPr>
        <w:pStyle w:val="ListParagraph"/>
        <w:rPr>
          <w:rFonts w:cstheme="minorHAnsi"/>
        </w:rPr>
      </w:pPr>
    </w:p>
    <w:p w:rsidR="00CA0305" w:rsidRDefault="00CA0305" w:rsidP="00CA0305">
      <w:pPr>
        <w:pStyle w:val="ListParagraph"/>
        <w:rPr>
          <w:rFonts w:cstheme="minorHAnsi"/>
        </w:rPr>
      </w:pPr>
    </w:p>
    <w:p w:rsidR="00CA0305" w:rsidRDefault="00CA0305" w:rsidP="00CA0305">
      <w:pPr>
        <w:pStyle w:val="ListParagraph"/>
        <w:rPr>
          <w:rFonts w:cstheme="minorHAnsi"/>
        </w:rPr>
      </w:pPr>
    </w:p>
    <w:p w:rsidR="00CA0305" w:rsidRDefault="00CA0305" w:rsidP="00CA0305">
      <w:pPr>
        <w:pStyle w:val="ListParagraph"/>
        <w:rPr>
          <w:rFonts w:cstheme="minorHAnsi"/>
        </w:rPr>
      </w:pPr>
    </w:p>
    <w:p w:rsidR="00CA0305" w:rsidRPr="00175745" w:rsidRDefault="00CA0305" w:rsidP="00CA0305">
      <w:pPr>
        <w:pStyle w:val="ListParagraph"/>
        <w:rPr>
          <w:rFonts w:cstheme="minorHAnsi"/>
        </w:rPr>
      </w:pPr>
      <w:r w:rsidRPr="00175745">
        <w:rPr>
          <w:rFonts w:cstheme="minorHAnsi"/>
        </w:rPr>
        <w:t>Summary results for Spring 2018 BIOL&amp;160 Common Final</w:t>
      </w:r>
    </w:p>
    <w:p w:rsidR="00CA0305" w:rsidRPr="00175745" w:rsidRDefault="00CA0305" w:rsidP="00CA0305">
      <w:pPr>
        <w:pStyle w:val="ListParagraph"/>
        <w:rPr>
          <w:rFonts w:cstheme="minorHAnsi"/>
        </w:rPr>
      </w:pPr>
      <w:r w:rsidRPr="00175745">
        <w:rPr>
          <w:rFonts w:cstheme="minorHAnsi"/>
          <w:noProof/>
        </w:rPr>
        <w:drawing>
          <wp:inline distT="0" distB="0" distL="0" distR="0" wp14:anchorId="5B13FBA9" wp14:editId="28AA5B56">
            <wp:extent cx="4619625" cy="2938463"/>
            <wp:effectExtent l="0" t="0" r="95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A0305" w:rsidRPr="00175745" w:rsidRDefault="00CA0305" w:rsidP="00CA0305">
      <w:pPr>
        <w:pStyle w:val="ListParagraph"/>
        <w:rPr>
          <w:rFonts w:cstheme="minorHAnsi"/>
        </w:rPr>
      </w:pPr>
    </w:p>
    <w:p w:rsidR="00CA0305" w:rsidRPr="00175745" w:rsidRDefault="00CA0305" w:rsidP="00CA0305">
      <w:pPr>
        <w:pStyle w:val="ListParagraph"/>
        <w:rPr>
          <w:rFonts w:cstheme="minorHAnsi"/>
        </w:rPr>
      </w:pPr>
      <w:r w:rsidRPr="00175745">
        <w:rPr>
          <w:rFonts w:cstheme="minorHAnsi"/>
        </w:rPr>
        <w:t xml:space="preserve">The table below summarizes our final exam scores to date.  We’ve seen a plateau over recent years where scores have leveled off.  </w:t>
      </w:r>
    </w:p>
    <w:tbl>
      <w:tblPr>
        <w:tblW w:w="4116" w:type="dxa"/>
        <w:tblInd w:w="2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035"/>
        <w:gridCol w:w="1376"/>
      </w:tblGrid>
      <w:tr w:rsidR="00CA0305" w:rsidRPr="00175745" w:rsidTr="002F3C88">
        <w:trPr>
          <w:trHeight w:val="300"/>
        </w:trPr>
        <w:tc>
          <w:tcPr>
            <w:tcW w:w="1705" w:type="dxa"/>
            <w:shd w:val="clear" w:color="auto" w:fill="auto"/>
            <w:noWrap/>
            <w:vAlign w:val="bottom"/>
            <w:hideMark/>
          </w:tcPr>
          <w:p w:rsidR="00CA0305" w:rsidRPr="00175745" w:rsidRDefault="00CA0305" w:rsidP="002F3C88">
            <w:pPr>
              <w:rPr>
                <w:rFonts w:eastAsia="Times New Roman" w:cstheme="minorHAnsi"/>
                <w:b/>
                <w:bCs/>
                <w:color w:val="000000"/>
              </w:rPr>
            </w:pPr>
            <w:r w:rsidRPr="00175745">
              <w:rPr>
                <w:rFonts w:eastAsia="Times New Roman" w:cstheme="minorHAnsi"/>
                <w:b/>
                <w:bCs/>
                <w:color w:val="000000"/>
              </w:rPr>
              <w:t>quarter</w:t>
            </w:r>
          </w:p>
        </w:tc>
        <w:tc>
          <w:tcPr>
            <w:tcW w:w="1035" w:type="dxa"/>
            <w:shd w:val="clear" w:color="auto" w:fill="auto"/>
            <w:noWrap/>
            <w:vAlign w:val="bottom"/>
            <w:hideMark/>
          </w:tcPr>
          <w:p w:rsidR="00CA0305" w:rsidRPr="00175745" w:rsidRDefault="00CA0305" w:rsidP="002F3C88">
            <w:pPr>
              <w:rPr>
                <w:rFonts w:eastAsia="Times New Roman" w:cstheme="minorHAnsi"/>
                <w:b/>
                <w:bCs/>
                <w:color w:val="000000"/>
              </w:rPr>
            </w:pPr>
            <w:r w:rsidRPr="00175745">
              <w:rPr>
                <w:rFonts w:eastAsia="Times New Roman" w:cstheme="minorHAnsi"/>
                <w:b/>
                <w:bCs/>
                <w:color w:val="000000"/>
              </w:rPr>
              <w:t>Average Final Exam Score</w:t>
            </w:r>
          </w:p>
        </w:tc>
        <w:tc>
          <w:tcPr>
            <w:tcW w:w="1376" w:type="dxa"/>
            <w:shd w:val="clear" w:color="auto" w:fill="auto"/>
            <w:noWrap/>
            <w:vAlign w:val="bottom"/>
            <w:hideMark/>
          </w:tcPr>
          <w:p w:rsidR="00CA0305" w:rsidRPr="00175745" w:rsidRDefault="00CA0305" w:rsidP="002F3C88">
            <w:pPr>
              <w:rPr>
                <w:rFonts w:eastAsia="Times New Roman" w:cstheme="minorHAnsi"/>
                <w:b/>
                <w:bCs/>
                <w:color w:val="000000"/>
              </w:rPr>
            </w:pPr>
            <w:r w:rsidRPr="00175745">
              <w:rPr>
                <w:rFonts w:eastAsia="Times New Roman" w:cstheme="minorHAnsi"/>
                <w:b/>
                <w:bCs/>
                <w:color w:val="000000"/>
              </w:rPr>
              <w:t>Average Percent Completion</w:t>
            </w:r>
          </w:p>
        </w:tc>
      </w:tr>
      <w:tr w:rsidR="00CA0305" w:rsidRPr="00175745" w:rsidTr="002F3C88">
        <w:trPr>
          <w:trHeight w:val="300"/>
        </w:trPr>
        <w:tc>
          <w:tcPr>
            <w:tcW w:w="1705" w:type="dxa"/>
            <w:shd w:val="clear" w:color="auto" w:fill="auto"/>
            <w:noWrap/>
            <w:vAlign w:val="bottom"/>
            <w:hideMark/>
          </w:tcPr>
          <w:p w:rsidR="00CA0305" w:rsidRPr="00175745" w:rsidRDefault="00CA0305" w:rsidP="002F3C88">
            <w:pPr>
              <w:rPr>
                <w:rFonts w:eastAsia="Times New Roman" w:cstheme="minorHAnsi"/>
                <w:color w:val="000000"/>
              </w:rPr>
            </w:pPr>
            <w:r w:rsidRPr="00175745">
              <w:rPr>
                <w:rFonts w:eastAsia="Times New Roman" w:cstheme="minorHAnsi"/>
                <w:color w:val="000000"/>
              </w:rPr>
              <w:t>Fall 2014</w:t>
            </w:r>
          </w:p>
        </w:tc>
        <w:tc>
          <w:tcPr>
            <w:tcW w:w="1035" w:type="dxa"/>
            <w:shd w:val="clear" w:color="auto" w:fill="auto"/>
            <w:noWrap/>
            <w:vAlign w:val="bottom"/>
            <w:hideMark/>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64.8</w:t>
            </w:r>
          </w:p>
        </w:tc>
        <w:tc>
          <w:tcPr>
            <w:tcW w:w="1376" w:type="dxa"/>
            <w:shd w:val="clear" w:color="auto" w:fill="auto"/>
            <w:noWrap/>
            <w:vAlign w:val="bottom"/>
            <w:hideMark/>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92</w:t>
            </w:r>
          </w:p>
        </w:tc>
      </w:tr>
      <w:tr w:rsidR="00CA0305" w:rsidRPr="00175745" w:rsidTr="002F3C88">
        <w:trPr>
          <w:trHeight w:val="300"/>
        </w:trPr>
        <w:tc>
          <w:tcPr>
            <w:tcW w:w="1705" w:type="dxa"/>
            <w:shd w:val="clear" w:color="auto" w:fill="auto"/>
            <w:noWrap/>
            <w:vAlign w:val="bottom"/>
            <w:hideMark/>
          </w:tcPr>
          <w:p w:rsidR="00CA0305" w:rsidRPr="00175745" w:rsidRDefault="00CA0305" w:rsidP="002F3C88">
            <w:pPr>
              <w:rPr>
                <w:rFonts w:eastAsia="Times New Roman" w:cstheme="minorHAnsi"/>
                <w:color w:val="000000"/>
              </w:rPr>
            </w:pPr>
            <w:r w:rsidRPr="00175745">
              <w:rPr>
                <w:rFonts w:eastAsia="Times New Roman" w:cstheme="minorHAnsi"/>
                <w:color w:val="000000"/>
              </w:rPr>
              <w:t>Winter 2015</w:t>
            </w:r>
          </w:p>
        </w:tc>
        <w:tc>
          <w:tcPr>
            <w:tcW w:w="1035" w:type="dxa"/>
            <w:shd w:val="clear" w:color="auto" w:fill="auto"/>
            <w:noWrap/>
            <w:vAlign w:val="bottom"/>
            <w:hideMark/>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66.5</w:t>
            </w:r>
          </w:p>
        </w:tc>
        <w:tc>
          <w:tcPr>
            <w:tcW w:w="1376" w:type="dxa"/>
            <w:shd w:val="clear" w:color="auto" w:fill="auto"/>
            <w:noWrap/>
            <w:vAlign w:val="bottom"/>
            <w:hideMark/>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88</w:t>
            </w:r>
          </w:p>
        </w:tc>
      </w:tr>
      <w:tr w:rsidR="00CA0305" w:rsidRPr="00175745" w:rsidTr="002F3C88">
        <w:trPr>
          <w:trHeight w:val="300"/>
        </w:trPr>
        <w:tc>
          <w:tcPr>
            <w:tcW w:w="1705" w:type="dxa"/>
            <w:shd w:val="clear" w:color="auto" w:fill="auto"/>
            <w:noWrap/>
            <w:vAlign w:val="bottom"/>
            <w:hideMark/>
          </w:tcPr>
          <w:p w:rsidR="00CA0305" w:rsidRPr="00175745" w:rsidRDefault="00CA0305" w:rsidP="002F3C88">
            <w:pPr>
              <w:rPr>
                <w:rFonts w:eastAsia="Times New Roman" w:cstheme="minorHAnsi"/>
                <w:color w:val="000000"/>
              </w:rPr>
            </w:pPr>
            <w:r w:rsidRPr="00175745">
              <w:rPr>
                <w:rFonts w:eastAsia="Times New Roman" w:cstheme="minorHAnsi"/>
                <w:color w:val="000000"/>
              </w:rPr>
              <w:t>Spring 2015</w:t>
            </w:r>
          </w:p>
        </w:tc>
        <w:tc>
          <w:tcPr>
            <w:tcW w:w="1035" w:type="dxa"/>
            <w:shd w:val="clear" w:color="auto" w:fill="auto"/>
            <w:noWrap/>
            <w:vAlign w:val="bottom"/>
            <w:hideMark/>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66.7</w:t>
            </w:r>
          </w:p>
        </w:tc>
        <w:tc>
          <w:tcPr>
            <w:tcW w:w="1376" w:type="dxa"/>
            <w:shd w:val="clear" w:color="auto" w:fill="auto"/>
            <w:noWrap/>
            <w:vAlign w:val="bottom"/>
            <w:hideMark/>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86</w:t>
            </w:r>
          </w:p>
        </w:tc>
      </w:tr>
      <w:tr w:rsidR="00CA0305" w:rsidRPr="00175745" w:rsidTr="002F3C88">
        <w:trPr>
          <w:trHeight w:val="300"/>
        </w:trPr>
        <w:tc>
          <w:tcPr>
            <w:tcW w:w="1705" w:type="dxa"/>
            <w:shd w:val="clear" w:color="auto" w:fill="auto"/>
            <w:noWrap/>
            <w:vAlign w:val="bottom"/>
            <w:hideMark/>
          </w:tcPr>
          <w:p w:rsidR="00CA0305" w:rsidRPr="00175745" w:rsidRDefault="00CA0305" w:rsidP="002F3C88">
            <w:pPr>
              <w:rPr>
                <w:rFonts w:eastAsia="Times New Roman" w:cstheme="minorHAnsi"/>
                <w:color w:val="000000"/>
              </w:rPr>
            </w:pPr>
            <w:r w:rsidRPr="00175745">
              <w:rPr>
                <w:rFonts w:eastAsia="Times New Roman" w:cstheme="minorHAnsi"/>
                <w:color w:val="000000"/>
              </w:rPr>
              <w:t>Fall 2015</w:t>
            </w:r>
          </w:p>
        </w:tc>
        <w:tc>
          <w:tcPr>
            <w:tcW w:w="1035" w:type="dxa"/>
            <w:shd w:val="clear" w:color="auto" w:fill="auto"/>
            <w:noWrap/>
            <w:vAlign w:val="bottom"/>
            <w:hideMark/>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65.3</w:t>
            </w:r>
          </w:p>
        </w:tc>
        <w:tc>
          <w:tcPr>
            <w:tcW w:w="1376" w:type="dxa"/>
            <w:shd w:val="clear" w:color="auto" w:fill="auto"/>
            <w:noWrap/>
            <w:vAlign w:val="bottom"/>
            <w:hideMark/>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82</w:t>
            </w:r>
          </w:p>
        </w:tc>
      </w:tr>
      <w:tr w:rsidR="00CA0305" w:rsidRPr="00175745" w:rsidTr="002F3C88">
        <w:trPr>
          <w:trHeight w:val="300"/>
        </w:trPr>
        <w:tc>
          <w:tcPr>
            <w:tcW w:w="1705" w:type="dxa"/>
            <w:shd w:val="clear" w:color="auto" w:fill="auto"/>
            <w:noWrap/>
            <w:vAlign w:val="bottom"/>
            <w:hideMark/>
          </w:tcPr>
          <w:p w:rsidR="00CA0305" w:rsidRPr="00175745" w:rsidRDefault="00CA0305" w:rsidP="002F3C88">
            <w:pPr>
              <w:rPr>
                <w:rFonts w:eastAsia="Times New Roman" w:cstheme="minorHAnsi"/>
                <w:color w:val="000000"/>
              </w:rPr>
            </w:pPr>
            <w:r w:rsidRPr="00175745">
              <w:rPr>
                <w:rFonts w:eastAsia="Times New Roman" w:cstheme="minorHAnsi"/>
                <w:color w:val="000000"/>
              </w:rPr>
              <w:t>Winter 2016</w:t>
            </w:r>
          </w:p>
        </w:tc>
        <w:tc>
          <w:tcPr>
            <w:tcW w:w="1035" w:type="dxa"/>
            <w:shd w:val="clear" w:color="auto" w:fill="auto"/>
            <w:noWrap/>
            <w:vAlign w:val="bottom"/>
            <w:hideMark/>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70.4</w:t>
            </w:r>
          </w:p>
        </w:tc>
        <w:tc>
          <w:tcPr>
            <w:tcW w:w="1376" w:type="dxa"/>
            <w:shd w:val="clear" w:color="auto" w:fill="auto"/>
            <w:noWrap/>
            <w:vAlign w:val="bottom"/>
            <w:hideMark/>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81</w:t>
            </w:r>
          </w:p>
        </w:tc>
      </w:tr>
      <w:tr w:rsidR="00CA0305" w:rsidRPr="00175745" w:rsidTr="002F3C88">
        <w:trPr>
          <w:trHeight w:val="300"/>
        </w:trPr>
        <w:tc>
          <w:tcPr>
            <w:tcW w:w="1705" w:type="dxa"/>
            <w:shd w:val="clear" w:color="auto" w:fill="auto"/>
            <w:noWrap/>
            <w:vAlign w:val="bottom"/>
            <w:hideMark/>
          </w:tcPr>
          <w:p w:rsidR="00CA0305" w:rsidRPr="00175745" w:rsidRDefault="00CA0305" w:rsidP="002F3C88">
            <w:pPr>
              <w:rPr>
                <w:rFonts w:eastAsia="Times New Roman" w:cstheme="minorHAnsi"/>
                <w:color w:val="000000"/>
              </w:rPr>
            </w:pPr>
            <w:r w:rsidRPr="00175745">
              <w:rPr>
                <w:rFonts w:eastAsia="Times New Roman" w:cstheme="minorHAnsi"/>
                <w:color w:val="000000"/>
              </w:rPr>
              <w:t>Spring 2016</w:t>
            </w:r>
          </w:p>
        </w:tc>
        <w:tc>
          <w:tcPr>
            <w:tcW w:w="1035" w:type="dxa"/>
            <w:shd w:val="clear" w:color="auto" w:fill="auto"/>
            <w:noWrap/>
            <w:vAlign w:val="bottom"/>
            <w:hideMark/>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67.9</w:t>
            </w:r>
          </w:p>
        </w:tc>
        <w:tc>
          <w:tcPr>
            <w:tcW w:w="1376" w:type="dxa"/>
            <w:shd w:val="clear" w:color="auto" w:fill="auto"/>
            <w:noWrap/>
            <w:vAlign w:val="bottom"/>
            <w:hideMark/>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81</w:t>
            </w:r>
          </w:p>
        </w:tc>
      </w:tr>
      <w:tr w:rsidR="00CA0305" w:rsidRPr="00175745" w:rsidTr="002F3C88">
        <w:trPr>
          <w:trHeight w:val="300"/>
        </w:trPr>
        <w:tc>
          <w:tcPr>
            <w:tcW w:w="1705" w:type="dxa"/>
            <w:shd w:val="clear" w:color="auto" w:fill="auto"/>
            <w:noWrap/>
            <w:vAlign w:val="bottom"/>
          </w:tcPr>
          <w:p w:rsidR="00CA0305" w:rsidRPr="00175745" w:rsidRDefault="00CA0305" w:rsidP="002F3C88">
            <w:pPr>
              <w:rPr>
                <w:rFonts w:eastAsia="Times New Roman" w:cstheme="minorHAnsi"/>
                <w:color w:val="000000"/>
              </w:rPr>
            </w:pPr>
            <w:r w:rsidRPr="00175745">
              <w:rPr>
                <w:rFonts w:eastAsia="Times New Roman" w:cstheme="minorHAnsi"/>
                <w:color w:val="000000"/>
              </w:rPr>
              <w:t>Fall 2016</w:t>
            </w:r>
          </w:p>
        </w:tc>
        <w:tc>
          <w:tcPr>
            <w:tcW w:w="1035" w:type="dxa"/>
            <w:shd w:val="clear" w:color="auto" w:fill="auto"/>
            <w:noWrap/>
            <w:vAlign w:val="bottom"/>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71.6</w:t>
            </w:r>
          </w:p>
        </w:tc>
        <w:tc>
          <w:tcPr>
            <w:tcW w:w="1376" w:type="dxa"/>
            <w:shd w:val="clear" w:color="auto" w:fill="auto"/>
            <w:noWrap/>
            <w:vAlign w:val="bottom"/>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91</w:t>
            </w:r>
          </w:p>
        </w:tc>
      </w:tr>
      <w:tr w:rsidR="00CA0305" w:rsidRPr="00175745" w:rsidTr="002F3C88">
        <w:trPr>
          <w:trHeight w:val="300"/>
        </w:trPr>
        <w:tc>
          <w:tcPr>
            <w:tcW w:w="1705" w:type="dxa"/>
            <w:shd w:val="clear" w:color="auto" w:fill="auto"/>
            <w:noWrap/>
            <w:vAlign w:val="bottom"/>
          </w:tcPr>
          <w:p w:rsidR="00CA0305" w:rsidRPr="00175745" w:rsidRDefault="00CA0305" w:rsidP="002F3C88">
            <w:pPr>
              <w:rPr>
                <w:rFonts w:eastAsia="Times New Roman" w:cstheme="minorHAnsi"/>
                <w:color w:val="000000"/>
              </w:rPr>
            </w:pPr>
            <w:r w:rsidRPr="00175745">
              <w:rPr>
                <w:rFonts w:eastAsia="Times New Roman" w:cstheme="minorHAnsi"/>
                <w:color w:val="000000"/>
              </w:rPr>
              <w:t>Winter 2017</w:t>
            </w:r>
          </w:p>
        </w:tc>
        <w:tc>
          <w:tcPr>
            <w:tcW w:w="1035" w:type="dxa"/>
            <w:shd w:val="clear" w:color="auto" w:fill="auto"/>
            <w:noWrap/>
            <w:vAlign w:val="bottom"/>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71.6</w:t>
            </w:r>
          </w:p>
        </w:tc>
        <w:tc>
          <w:tcPr>
            <w:tcW w:w="1376" w:type="dxa"/>
            <w:shd w:val="clear" w:color="auto" w:fill="auto"/>
            <w:noWrap/>
            <w:vAlign w:val="bottom"/>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90</w:t>
            </w:r>
          </w:p>
        </w:tc>
      </w:tr>
      <w:tr w:rsidR="00CA0305" w:rsidRPr="00175745" w:rsidTr="002F3C88">
        <w:trPr>
          <w:trHeight w:val="300"/>
        </w:trPr>
        <w:tc>
          <w:tcPr>
            <w:tcW w:w="1705" w:type="dxa"/>
            <w:shd w:val="clear" w:color="auto" w:fill="auto"/>
            <w:noWrap/>
            <w:vAlign w:val="bottom"/>
          </w:tcPr>
          <w:p w:rsidR="00CA0305" w:rsidRPr="00175745" w:rsidRDefault="00CA0305" w:rsidP="002F3C88">
            <w:pPr>
              <w:rPr>
                <w:rFonts w:eastAsia="Times New Roman" w:cstheme="minorHAnsi"/>
                <w:color w:val="000000"/>
              </w:rPr>
            </w:pPr>
            <w:r w:rsidRPr="00175745">
              <w:rPr>
                <w:rFonts w:eastAsia="Times New Roman" w:cstheme="minorHAnsi"/>
                <w:color w:val="000000"/>
              </w:rPr>
              <w:t>Spring 2017</w:t>
            </w:r>
          </w:p>
        </w:tc>
        <w:tc>
          <w:tcPr>
            <w:tcW w:w="1035" w:type="dxa"/>
            <w:shd w:val="clear" w:color="auto" w:fill="auto"/>
            <w:noWrap/>
            <w:vAlign w:val="bottom"/>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70.8</w:t>
            </w:r>
          </w:p>
        </w:tc>
        <w:tc>
          <w:tcPr>
            <w:tcW w:w="1376" w:type="dxa"/>
            <w:shd w:val="clear" w:color="auto" w:fill="auto"/>
            <w:noWrap/>
            <w:vAlign w:val="bottom"/>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88</w:t>
            </w:r>
          </w:p>
        </w:tc>
      </w:tr>
      <w:tr w:rsidR="00CA0305" w:rsidRPr="00175745" w:rsidTr="002F3C88">
        <w:trPr>
          <w:trHeight w:val="300"/>
        </w:trPr>
        <w:tc>
          <w:tcPr>
            <w:tcW w:w="1705" w:type="dxa"/>
            <w:shd w:val="clear" w:color="auto" w:fill="auto"/>
            <w:noWrap/>
            <w:vAlign w:val="bottom"/>
          </w:tcPr>
          <w:p w:rsidR="00CA0305" w:rsidRPr="00175745" w:rsidRDefault="00CA0305" w:rsidP="002F3C88">
            <w:pPr>
              <w:rPr>
                <w:rFonts w:eastAsia="Times New Roman" w:cstheme="minorHAnsi"/>
                <w:color w:val="000000"/>
              </w:rPr>
            </w:pPr>
            <w:r w:rsidRPr="00175745">
              <w:rPr>
                <w:rFonts w:eastAsia="Times New Roman" w:cstheme="minorHAnsi"/>
                <w:color w:val="000000"/>
              </w:rPr>
              <w:t>Fall 2017</w:t>
            </w:r>
          </w:p>
        </w:tc>
        <w:tc>
          <w:tcPr>
            <w:tcW w:w="1035" w:type="dxa"/>
            <w:shd w:val="clear" w:color="auto" w:fill="auto"/>
            <w:noWrap/>
            <w:vAlign w:val="bottom"/>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70.8</w:t>
            </w:r>
          </w:p>
        </w:tc>
        <w:tc>
          <w:tcPr>
            <w:tcW w:w="1376" w:type="dxa"/>
            <w:shd w:val="clear" w:color="auto" w:fill="auto"/>
            <w:noWrap/>
            <w:vAlign w:val="bottom"/>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88</w:t>
            </w:r>
          </w:p>
        </w:tc>
      </w:tr>
      <w:tr w:rsidR="00CA0305" w:rsidRPr="00175745" w:rsidTr="002F3C88">
        <w:trPr>
          <w:trHeight w:val="300"/>
        </w:trPr>
        <w:tc>
          <w:tcPr>
            <w:tcW w:w="1705" w:type="dxa"/>
            <w:shd w:val="clear" w:color="auto" w:fill="auto"/>
            <w:noWrap/>
            <w:vAlign w:val="bottom"/>
          </w:tcPr>
          <w:p w:rsidR="00CA0305" w:rsidRPr="00175745" w:rsidRDefault="00CA0305" w:rsidP="002F3C88">
            <w:pPr>
              <w:rPr>
                <w:rFonts w:eastAsia="Times New Roman" w:cstheme="minorHAnsi"/>
                <w:color w:val="000000"/>
              </w:rPr>
            </w:pPr>
            <w:r w:rsidRPr="00175745">
              <w:rPr>
                <w:rFonts w:eastAsia="Times New Roman" w:cstheme="minorHAnsi"/>
                <w:color w:val="000000"/>
              </w:rPr>
              <w:t>Winter 2018</w:t>
            </w:r>
          </w:p>
        </w:tc>
        <w:tc>
          <w:tcPr>
            <w:tcW w:w="1035" w:type="dxa"/>
            <w:shd w:val="clear" w:color="auto" w:fill="auto"/>
            <w:noWrap/>
            <w:vAlign w:val="bottom"/>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70.1</w:t>
            </w:r>
          </w:p>
        </w:tc>
        <w:tc>
          <w:tcPr>
            <w:tcW w:w="1376" w:type="dxa"/>
            <w:shd w:val="clear" w:color="auto" w:fill="auto"/>
            <w:noWrap/>
            <w:vAlign w:val="bottom"/>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87</w:t>
            </w:r>
          </w:p>
        </w:tc>
      </w:tr>
      <w:tr w:rsidR="00CA0305" w:rsidRPr="00175745" w:rsidTr="002F3C88">
        <w:trPr>
          <w:trHeight w:val="300"/>
        </w:trPr>
        <w:tc>
          <w:tcPr>
            <w:tcW w:w="1705" w:type="dxa"/>
            <w:shd w:val="clear" w:color="auto" w:fill="auto"/>
            <w:noWrap/>
            <w:vAlign w:val="bottom"/>
          </w:tcPr>
          <w:p w:rsidR="00CA0305" w:rsidRPr="00175745" w:rsidRDefault="00CA0305" w:rsidP="002F3C88">
            <w:pPr>
              <w:rPr>
                <w:rFonts w:eastAsia="Times New Roman" w:cstheme="minorHAnsi"/>
                <w:color w:val="000000"/>
              </w:rPr>
            </w:pPr>
            <w:r w:rsidRPr="00175745">
              <w:rPr>
                <w:rFonts w:eastAsia="Times New Roman" w:cstheme="minorHAnsi"/>
                <w:color w:val="000000"/>
              </w:rPr>
              <w:t>Spring 2018</w:t>
            </w:r>
          </w:p>
        </w:tc>
        <w:tc>
          <w:tcPr>
            <w:tcW w:w="1035" w:type="dxa"/>
            <w:shd w:val="clear" w:color="auto" w:fill="auto"/>
            <w:noWrap/>
            <w:vAlign w:val="bottom"/>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69.3</w:t>
            </w:r>
          </w:p>
        </w:tc>
        <w:tc>
          <w:tcPr>
            <w:tcW w:w="1376" w:type="dxa"/>
            <w:shd w:val="clear" w:color="auto" w:fill="auto"/>
            <w:noWrap/>
            <w:vAlign w:val="bottom"/>
          </w:tcPr>
          <w:p w:rsidR="00CA0305" w:rsidRPr="00175745" w:rsidRDefault="00CA0305" w:rsidP="002F3C88">
            <w:pPr>
              <w:jc w:val="right"/>
              <w:rPr>
                <w:rFonts w:eastAsia="Times New Roman" w:cstheme="minorHAnsi"/>
                <w:color w:val="000000"/>
              </w:rPr>
            </w:pPr>
            <w:r w:rsidRPr="00175745">
              <w:rPr>
                <w:rFonts w:eastAsia="Times New Roman" w:cstheme="minorHAnsi"/>
                <w:color w:val="000000"/>
              </w:rPr>
              <w:t>87</w:t>
            </w:r>
          </w:p>
        </w:tc>
      </w:tr>
    </w:tbl>
    <w:p w:rsidR="00CA0305" w:rsidRDefault="00CA0305" w:rsidP="00CA0305">
      <w:pPr>
        <w:pStyle w:val="ListParagraph"/>
        <w:rPr>
          <w:rFonts w:cstheme="minorHAnsi"/>
        </w:rPr>
      </w:pPr>
    </w:p>
    <w:p w:rsidR="00CA0305" w:rsidRDefault="00CA0305" w:rsidP="00CA0305">
      <w:pPr>
        <w:pStyle w:val="ListParagraph"/>
        <w:rPr>
          <w:rFonts w:cstheme="minorHAnsi"/>
        </w:rPr>
      </w:pPr>
    </w:p>
    <w:p w:rsidR="00CA0305" w:rsidRPr="00175745" w:rsidRDefault="00CA0305" w:rsidP="00CA0305">
      <w:pPr>
        <w:pStyle w:val="ListParagraph"/>
        <w:rPr>
          <w:rFonts w:cstheme="minorHAnsi"/>
        </w:rPr>
      </w:pPr>
    </w:p>
    <w:p w:rsidR="00CA0305" w:rsidRPr="00175745" w:rsidRDefault="00CA0305" w:rsidP="00CA0305">
      <w:pPr>
        <w:rPr>
          <w:rFonts w:cstheme="minorHAnsi"/>
          <w:b/>
        </w:rPr>
      </w:pPr>
    </w:p>
    <w:p w:rsidR="00CA0305" w:rsidRPr="00175745" w:rsidRDefault="00CA0305" w:rsidP="00CA0305">
      <w:pPr>
        <w:pStyle w:val="ListParagraph"/>
        <w:rPr>
          <w:rFonts w:cstheme="minorHAnsi"/>
          <w:b/>
        </w:rPr>
      </w:pPr>
    </w:p>
    <w:p w:rsidR="00CA0305" w:rsidRDefault="00CA0305" w:rsidP="00CA0305">
      <w:pPr>
        <w:pStyle w:val="ListParagraph"/>
        <w:numPr>
          <w:ilvl w:val="0"/>
          <w:numId w:val="2"/>
        </w:numPr>
        <w:ind w:left="810"/>
        <w:rPr>
          <w:rFonts w:cstheme="minorHAnsi"/>
          <w:b/>
          <w:iCs/>
        </w:rPr>
      </w:pPr>
      <w:r w:rsidRPr="00175745">
        <w:rPr>
          <w:rFonts w:cstheme="minorHAnsi"/>
          <w:b/>
          <w:iCs/>
        </w:rPr>
        <w:t>Results for PLO5</w:t>
      </w:r>
    </w:p>
    <w:p w:rsidR="00CA0305" w:rsidRDefault="00CA0305" w:rsidP="00CA0305">
      <w:pPr>
        <w:pStyle w:val="ListParagraph"/>
        <w:ind w:left="810"/>
        <w:rPr>
          <w:rFonts w:cstheme="minorHAnsi"/>
          <w:b/>
          <w:iCs/>
        </w:rPr>
      </w:pPr>
    </w:p>
    <w:p w:rsidR="00CA0305" w:rsidRDefault="00CA0305" w:rsidP="00CA0305">
      <w:pPr>
        <w:pStyle w:val="ListParagraph"/>
        <w:ind w:left="810"/>
        <w:rPr>
          <w:rFonts w:cstheme="minorHAnsi"/>
        </w:rPr>
      </w:pPr>
      <w:r w:rsidRPr="005C52E8">
        <w:rPr>
          <w:rFonts w:cstheme="minorHAnsi"/>
        </w:rPr>
        <w:t>We collected data from both biology and chemistry labs during Winter Quarter 2018 to help evaluate this outcome.  For biology, we assessed microscope care from lower (BIOL&amp;</w:t>
      </w:r>
      <w:r>
        <w:rPr>
          <w:rFonts w:cstheme="minorHAnsi"/>
        </w:rPr>
        <w:t xml:space="preserve"> </w:t>
      </w:r>
      <w:r w:rsidRPr="005C52E8">
        <w:rPr>
          <w:rFonts w:cstheme="minorHAnsi"/>
        </w:rPr>
        <w:t xml:space="preserve">160, </w:t>
      </w:r>
      <w:r>
        <w:rPr>
          <w:rFonts w:cstheme="minorHAnsi"/>
        </w:rPr>
        <w:t xml:space="preserve">          </w:t>
      </w:r>
      <w:r w:rsidRPr="005C52E8">
        <w:rPr>
          <w:rFonts w:cstheme="minorHAnsi"/>
        </w:rPr>
        <w:t>BIOL</w:t>
      </w:r>
      <w:r>
        <w:rPr>
          <w:rFonts w:cstheme="minorHAnsi"/>
        </w:rPr>
        <w:t xml:space="preserve">&amp; </w:t>
      </w:r>
      <w:r w:rsidRPr="005C52E8">
        <w:rPr>
          <w:rFonts w:cstheme="minorHAnsi"/>
        </w:rPr>
        <w:t>175), and upper level (BIOL&amp;</w:t>
      </w:r>
      <w:r>
        <w:rPr>
          <w:rFonts w:cstheme="minorHAnsi"/>
        </w:rPr>
        <w:t xml:space="preserve"> </w:t>
      </w:r>
      <w:r w:rsidRPr="005C52E8">
        <w:rPr>
          <w:rFonts w:cstheme="minorHAnsi"/>
        </w:rPr>
        <w:t>223, 241, 242, 260) biology courses.  In chemistry, we collected data on the cleanliness of hoods, sinks, and instrumentation upon completion of the lab.  This was done in every chemistry lab winter quarter.  As part of this assessment plan, we expected to see a decrease in “violations” as students progressed through the curriculum.  We expected more violations in lower level classes and fewer violations in upper level courses.  Having collected similar data in 2013-2014, we were also hoping to see a decrease in violations relative to the last assessment.</w:t>
      </w:r>
    </w:p>
    <w:p w:rsidR="00CA0305" w:rsidRPr="005C52E8" w:rsidRDefault="00CA0305" w:rsidP="00CA0305">
      <w:pPr>
        <w:pStyle w:val="ListParagraph"/>
        <w:ind w:left="810"/>
        <w:rPr>
          <w:rFonts w:cstheme="minorHAnsi"/>
          <w:b/>
          <w:iCs/>
        </w:rPr>
      </w:pPr>
    </w:p>
    <w:p w:rsidR="00CA0305" w:rsidRPr="00175745" w:rsidRDefault="00CA0305" w:rsidP="00CA0305">
      <w:pPr>
        <w:ind w:left="810"/>
        <w:rPr>
          <w:rFonts w:cstheme="minorHAnsi"/>
        </w:rPr>
      </w:pPr>
      <w:r w:rsidRPr="00175745">
        <w:rPr>
          <w:rFonts w:cstheme="minorHAnsi"/>
        </w:rPr>
        <w:t xml:space="preserve">In biology, we assessed 22 sections.  Half were </w:t>
      </w:r>
      <w:r>
        <w:rPr>
          <w:rFonts w:cstheme="minorHAnsi"/>
        </w:rPr>
        <w:t>100-level</w:t>
      </w:r>
      <w:r w:rsidRPr="00175745">
        <w:rPr>
          <w:rFonts w:cstheme="minorHAnsi"/>
        </w:rPr>
        <w:t xml:space="preserve"> labs, the other half wer</w:t>
      </w:r>
      <w:r>
        <w:rPr>
          <w:rFonts w:cstheme="minorHAnsi"/>
        </w:rPr>
        <w:t>e 200-</w:t>
      </w:r>
      <w:r w:rsidRPr="00175745">
        <w:rPr>
          <w:rFonts w:cstheme="minorHAnsi"/>
        </w:rPr>
        <w:t>level.  Across all sections we averaged 11.1 violations per quarter (range 0-37).  When we separated based on the level of the course, we saw no statistical difference (12.1 for 100-level, and 10.1 for 200-level).  This suggests that there isn’t a significant improvement as students progress through the curriculum.   Compared with the previous assessment of this PLO, we saw a slight decrease in overall violations (from 16.1 to 12.1 in 100-level courses and 12.1 to 10.1 for 200-level courses</w:t>
      </w:r>
      <w:r>
        <w:rPr>
          <w:rFonts w:cstheme="minorHAnsi"/>
        </w:rPr>
        <w:t>)</w:t>
      </w:r>
      <w:r w:rsidRPr="00175745">
        <w:rPr>
          <w:rFonts w:cstheme="minorHAnsi"/>
        </w:rPr>
        <w:t xml:space="preserve">. </w:t>
      </w:r>
    </w:p>
    <w:p w:rsidR="00CA0305" w:rsidRPr="00175745" w:rsidRDefault="00CA0305" w:rsidP="00CA0305">
      <w:pPr>
        <w:ind w:left="810"/>
        <w:rPr>
          <w:rFonts w:cstheme="minorHAnsi"/>
        </w:rPr>
      </w:pPr>
      <w:r w:rsidRPr="00175745">
        <w:rPr>
          <w:rFonts w:cstheme="minorHAnsi"/>
        </w:rPr>
        <w:t xml:space="preserve"> </w:t>
      </w:r>
    </w:p>
    <w:p w:rsidR="00CA0305" w:rsidRPr="00175745" w:rsidRDefault="00CA0305" w:rsidP="00CA0305">
      <w:pPr>
        <w:ind w:left="810"/>
        <w:rPr>
          <w:rFonts w:cstheme="minorHAnsi"/>
        </w:rPr>
      </w:pPr>
      <w:r w:rsidRPr="00175745">
        <w:rPr>
          <w:rFonts w:cstheme="minorHAnsi"/>
        </w:rPr>
        <w:t xml:space="preserve">In chemistry labs, we assessed 31 lab sections for lab cleanliness infractions (18 were lower-level, and 13 were upper-level).  Overall there was an average of 6.7 violations per section for the quarter (range 0-21).  After separating based on level, the lower-level courses averaged 6.5 violations whereas the upper-level courses averaged 7.1. These were not significantly different.  Similar to biology, we also didn’t see a significant difference when we looked at full-time vs. part time faculty.  When comparing this data to 2013-14, we saw an increase in violations in this current assessment.  </w:t>
      </w:r>
      <w:r>
        <w:rPr>
          <w:rFonts w:cstheme="minorHAnsi"/>
        </w:rPr>
        <w:t>100</w:t>
      </w:r>
      <w:r w:rsidRPr="00175745">
        <w:rPr>
          <w:rFonts w:cstheme="minorHAnsi"/>
        </w:rPr>
        <w:t xml:space="preserve">-level classes increased from 3.76 to 6.5, and </w:t>
      </w:r>
      <w:r>
        <w:rPr>
          <w:rFonts w:cstheme="minorHAnsi"/>
        </w:rPr>
        <w:t>200</w:t>
      </w:r>
      <w:r w:rsidRPr="00175745">
        <w:rPr>
          <w:rFonts w:cstheme="minorHAnsi"/>
        </w:rPr>
        <w:t xml:space="preserve">-level courses increased from 3.05 to 7.1.  </w:t>
      </w:r>
    </w:p>
    <w:p w:rsidR="00CA0305" w:rsidRPr="00175745" w:rsidRDefault="00CA0305" w:rsidP="00CA0305">
      <w:pPr>
        <w:ind w:left="810"/>
        <w:rPr>
          <w:rFonts w:cstheme="minorHAnsi"/>
        </w:rPr>
      </w:pPr>
    </w:p>
    <w:p w:rsidR="00CA0305" w:rsidRPr="00175745" w:rsidRDefault="00CA0305" w:rsidP="00CA0305">
      <w:pPr>
        <w:ind w:left="810"/>
        <w:rPr>
          <w:rFonts w:cstheme="minorHAnsi"/>
        </w:rPr>
      </w:pPr>
      <w:r w:rsidRPr="00175745">
        <w:rPr>
          <w:rFonts w:cstheme="minorHAnsi"/>
        </w:rPr>
        <w:t xml:space="preserve">Compared to our last assessment, we saw very similar data.  There was not any noticeable improvement by our students in the 4 years since we last assessed this objective.  We also saw the same patterns across our curriculum when comparing upper and lower-level courses.  </w:t>
      </w:r>
    </w:p>
    <w:p w:rsidR="00CA0305" w:rsidRPr="00175745" w:rsidRDefault="00CA0305" w:rsidP="00CA0305">
      <w:pPr>
        <w:ind w:left="810"/>
        <w:rPr>
          <w:rFonts w:cstheme="minorHAnsi"/>
        </w:rPr>
      </w:pPr>
      <w:r w:rsidRPr="00175745">
        <w:rPr>
          <w:rFonts w:cstheme="minorHAnsi"/>
        </w:rPr>
        <w:t xml:space="preserve">In our previous assessment we noted that violations correlated highly with the instructor, regardless of the level they were teaching at.  We see a similar trend here.  It is not so much the experience of the student, but how much the instructor emphasizes proper care of equipment.  </w:t>
      </w:r>
    </w:p>
    <w:p w:rsidR="00CA0305" w:rsidRPr="00175745" w:rsidRDefault="00CA0305" w:rsidP="00CA0305">
      <w:pPr>
        <w:ind w:left="810"/>
        <w:rPr>
          <w:rFonts w:cstheme="minorHAnsi"/>
        </w:rPr>
      </w:pPr>
      <w:r w:rsidRPr="00175745">
        <w:rPr>
          <w:rFonts w:cstheme="minorHAnsi"/>
        </w:rPr>
        <w:t>In looking at the biology data, there were too many variables.  We need to focus the data collection in order to remove some confounding variables.  Our plan is to focus on two courses (BIOL&amp;</w:t>
      </w:r>
      <w:r>
        <w:rPr>
          <w:rFonts w:cstheme="minorHAnsi"/>
        </w:rPr>
        <w:t xml:space="preserve"> </w:t>
      </w:r>
      <w:r w:rsidRPr="00175745">
        <w:rPr>
          <w:rFonts w:cstheme="minorHAnsi"/>
        </w:rPr>
        <w:t>160, and BIOL&amp;</w:t>
      </w:r>
      <w:r>
        <w:rPr>
          <w:rFonts w:cstheme="minorHAnsi"/>
        </w:rPr>
        <w:t xml:space="preserve"> </w:t>
      </w:r>
      <w:r w:rsidRPr="00175745">
        <w:rPr>
          <w:rFonts w:cstheme="minorHAnsi"/>
        </w:rPr>
        <w:t>241).  In those courses, we will monitor specific labs that we know are microscope intensive.  We will assess those labs every quarter</w:t>
      </w:r>
      <w:r>
        <w:rPr>
          <w:rFonts w:cstheme="minorHAnsi"/>
        </w:rPr>
        <w:t xml:space="preserve"> </w:t>
      </w:r>
      <w:r w:rsidRPr="00175745">
        <w:rPr>
          <w:rFonts w:cstheme="minorHAnsi"/>
        </w:rPr>
        <w:t xml:space="preserve">and establish a much stronger dataset to analyze.  </w:t>
      </w:r>
    </w:p>
    <w:p w:rsidR="00CA0305" w:rsidRPr="00175745" w:rsidRDefault="00CA0305" w:rsidP="00CA0305">
      <w:pPr>
        <w:ind w:left="810"/>
        <w:rPr>
          <w:rFonts w:cstheme="minorHAnsi"/>
        </w:rPr>
      </w:pPr>
    </w:p>
    <w:p w:rsidR="00CA0305" w:rsidRPr="00175745" w:rsidRDefault="00CA0305" w:rsidP="00CA0305">
      <w:pPr>
        <w:ind w:left="810"/>
        <w:rPr>
          <w:rFonts w:cstheme="minorHAnsi"/>
        </w:rPr>
      </w:pPr>
      <w:r w:rsidRPr="00175745">
        <w:rPr>
          <w:rFonts w:cstheme="minorHAnsi"/>
        </w:rPr>
        <w:t>One action that has already been taken is a modification of the lab manual for BIOL&amp;</w:t>
      </w:r>
      <w:r>
        <w:rPr>
          <w:rFonts w:cstheme="minorHAnsi"/>
        </w:rPr>
        <w:t xml:space="preserve"> </w:t>
      </w:r>
      <w:r w:rsidRPr="00175745">
        <w:rPr>
          <w:rFonts w:cstheme="minorHAnsi"/>
        </w:rPr>
        <w:t>160.  The lab that introduces microscopy now requires students to have their instructors “sign off” on their microscopes to ensure that they were properly handled.  This action should give every student feedback on proper microscope care at least once.  We</w:t>
      </w:r>
      <w:r>
        <w:rPr>
          <w:rFonts w:cstheme="minorHAnsi"/>
        </w:rPr>
        <w:t xml:space="preserve"> woul</w:t>
      </w:r>
      <w:r w:rsidRPr="00175745">
        <w:rPr>
          <w:rFonts w:cstheme="minorHAnsi"/>
        </w:rPr>
        <w:t xml:space="preserve">d really like to see students improve as they move through the curriculum.  Since we’re not seeing a decrease, it suggests that we’re not </w:t>
      </w:r>
      <w:r w:rsidRPr="00175745">
        <w:rPr>
          <w:rFonts w:cstheme="minorHAnsi"/>
        </w:rPr>
        <w:lastRenderedPageBreak/>
        <w:t xml:space="preserve">reinforcing proper microscope usage as they enter upper-level courses.  Now that we’re aware of this, we can take action to reinforce proper care and use with our </w:t>
      </w:r>
      <w:r>
        <w:rPr>
          <w:rFonts w:cstheme="minorHAnsi"/>
        </w:rPr>
        <w:t>200</w:t>
      </w:r>
      <w:r w:rsidRPr="00175745">
        <w:rPr>
          <w:rFonts w:cstheme="minorHAnsi"/>
        </w:rPr>
        <w:t xml:space="preserve">-level courses.  </w:t>
      </w:r>
    </w:p>
    <w:p w:rsidR="00CA0305" w:rsidRPr="00175745" w:rsidRDefault="00CA0305" w:rsidP="00CA0305">
      <w:pPr>
        <w:ind w:left="810"/>
        <w:rPr>
          <w:rFonts w:cstheme="minorHAnsi"/>
        </w:rPr>
      </w:pPr>
      <w:r w:rsidRPr="00175745">
        <w:rPr>
          <w:rFonts w:cstheme="minorHAnsi"/>
        </w:rPr>
        <w:t xml:space="preserve">There was a lot of inconsistency with the data, especially from Biology.  To make sure we’re being consistent, future data collection is going to be focused on three high-use microscopy labs in </w:t>
      </w:r>
      <w:r>
        <w:rPr>
          <w:rFonts w:cstheme="minorHAnsi"/>
        </w:rPr>
        <w:t xml:space="preserve">  </w:t>
      </w:r>
      <w:r w:rsidRPr="00175745">
        <w:rPr>
          <w:rFonts w:cstheme="minorHAnsi"/>
        </w:rPr>
        <w:t>B</w:t>
      </w:r>
      <w:r>
        <w:rPr>
          <w:rFonts w:cstheme="minorHAnsi"/>
        </w:rPr>
        <w:t xml:space="preserve">IOL&amp; </w:t>
      </w:r>
      <w:r w:rsidRPr="00175745">
        <w:rPr>
          <w:rFonts w:cstheme="minorHAnsi"/>
        </w:rPr>
        <w:t xml:space="preserve">160, and compare that with the histology labs done in </w:t>
      </w:r>
      <w:r>
        <w:rPr>
          <w:rFonts w:cstheme="minorHAnsi"/>
        </w:rPr>
        <w:t>BIOL&amp;</w:t>
      </w:r>
      <w:r w:rsidRPr="00175745">
        <w:rPr>
          <w:rFonts w:cstheme="minorHAnsi"/>
        </w:rPr>
        <w:t xml:space="preserve"> 241.  </w:t>
      </w:r>
    </w:p>
    <w:p w:rsidR="00CA0305" w:rsidRDefault="00CA0305" w:rsidP="00CA0305">
      <w:pPr>
        <w:ind w:left="810"/>
      </w:pPr>
    </w:p>
    <w:p w:rsidR="00CA0305" w:rsidRDefault="00CA0305" w:rsidP="00CA0305">
      <w:pPr>
        <w:ind w:left="720"/>
      </w:pPr>
    </w:p>
    <w:p w:rsidR="00CA0305" w:rsidRDefault="00CA0305" w:rsidP="00CA0305">
      <w:pPr>
        <w:pStyle w:val="ListParagraph"/>
        <w:rPr>
          <w:b/>
        </w:rPr>
      </w:pPr>
    </w:p>
    <w:p w:rsidR="00CA0305" w:rsidRDefault="00CA0305" w:rsidP="00CA0305">
      <w:pPr>
        <w:autoSpaceDE w:val="0"/>
        <w:autoSpaceDN w:val="0"/>
        <w:adjustRightInd w:val="0"/>
        <w:rPr>
          <w:rFonts w:ascii="Calibri" w:hAnsi="Calibri" w:cs="Calibri"/>
          <w:b/>
          <w:bCs/>
          <w:color w:val="000000" w:themeColor="text1"/>
          <w:sz w:val="32"/>
          <w:szCs w:val="32"/>
        </w:rPr>
        <w:sectPr w:rsidR="00CA0305" w:rsidSect="00614753">
          <w:footerReference w:type="default" r:id="rId8"/>
          <w:pgSz w:w="12240" w:h="15840"/>
          <w:pgMar w:top="864" w:right="864" w:bottom="864" w:left="864" w:header="288" w:footer="720" w:gutter="0"/>
          <w:cols w:space="720"/>
          <w:docGrid w:linePitch="360"/>
        </w:sectPr>
      </w:pPr>
    </w:p>
    <w:p w:rsidR="000740B2" w:rsidRDefault="00CA0305"/>
    <w:sectPr w:rsidR="0007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351123"/>
      <w:docPartObj>
        <w:docPartGallery w:val="Page Numbers (Bottom of Page)"/>
        <w:docPartUnique/>
      </w:docPartObj>
    </w:sdtPr>
    <w:sdtEndPr>
      <w:rPr>
        <w:noProof/>
      </w:rPr>
    </w:sdtEndPr>
    <w:sdtContent>
      <w:p w:rsidR="00B618AC" w:rsidRDefault="00CA030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618AC" w:rsidRDefault="00CA030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A36BD"/>
    <w:multiLevelType w:val="hybridMultilevel"/>
    <w:tmpl w:val="F64EC120"/>
    <w:lvl w:ilvl="0" w:tplc="2E2A615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C61301"/>
    <w:multiLevelType w:val="hybridMultilevel"/>
    <w:tmpl w:val="E7C8690C"/>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05"/>
    <w:rsid w:val="003A2429"/>
    <w:rsid w:val="00A81222"/>
    <w:rsid w:val="00CA0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78E4F-CD52-4176-AE42-C76EBDD1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3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305"/>
    <w:pPr>
      <w:ind w:left="720"/>
      <w:contextualSpacing/>
    </w:pPr>
  </w:style>
  <w:style w:type="paragraph" w:styleId="NormalWeb">
    <w:name w:val="Normal (Web)"/>
    <w:basedOn w:val="Normal"/>
    <w:uiPriority w:val="99"/>
    <w:unhideWhenUsed/>
    <w:rsid w:val="00CA0305"/>
    <w:rPr>
      <w:rFonts w:ascii="Times New Roman" w:hAnsi="Times New Roman" w:cs="Times New Roman"/>
    </w:rPr>
  </w:style>
  <w:style w:type="table" w:styleId="TableGrid">
    <w:name w:val="Table Grid"/>
    <w:basedOn w:val="TableNormal"/>
    <w:uiPriority w:val="39"/>
    <w:rsid w:val="00CA0305"/>
    <w:pPr>
      <w:spacing w:after="0" w:line="240" w:lineRule="auto"/>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A0305"/>
    <w:pPr>
      <w:tabs>
        <w:tab w:val="center" w:pos="4680"/>
        <w:tab w:val="right" w:pos="9360"/>
      </w:tabs>
    </w:pPr>
  </w:style>
  <w:style w:type="character" w:customStyle="1" w:styleId="FooterChar">
    <w:name w:val="Footer Char"/>
    <w:basedOn w:val="DefaultParagraphFont"/>
    <w:link w:val="Footer"/>
    <w:uiPriority w:val="99"/>
    <w:rsid w:val="00CA03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harrington\OneDrive%20-%20Tacoma%20Community%20College\Biol&amp;242\HAPS%20Exams\Copy%20of%20HAPS%20%20thru%20chart%20Spr%202018%20(0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testtacomacc-my.sharepoint.com/personal/kcushman_tacomacc_edu/Documents/Assessment/BIOL%20160%20common%20final/Spring%2018/_Final%20Exam%20Result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National Human Anatomy &amp; Physiology Averages Since Winter 2010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cat>
            <c:strRef>
              <c:f>Chart!$L$31:$L$34</c:f>
              <c:strCache>
                <c:ptCount val="4"/>
                <c:pt idx="0">
                  <c:v>TCC adjunct</c:v>
                </c:pt>
                <c:pt idx="1">
                  <c:v>TCC full time</c:v>
                </c:pt>
                <c:pt idx="2">
                  <c:v>National </c:v>
                </c:pt>
                <c:pt idx="3">
                  <c:v>TCC </c:v>
                </c:pt>
              </c:strCache>
            </c:strRef>
          </c:cat>
          <c:val>
            <c:numRef>
              <c:f>Chart!$M$31:$M$34</c:f>
              <c:numCache>
                <c:formatCode>General</c:formatCode>
                <c:ptCount val="4"/>
                <c:pt idx="0">
                  <c:v>51.4</c:v>
                </c:pt>
                <c:pt idx="1">
                  <c:v>61.5</c:v>
                </c:pt>
                <c:pt idx="2">
                  <c:v>52.9</c:v>
                </c:pt>
                <c:pt idx="3">
                  <c:v>57</c:v>
                </c:pt>
              </c:numCache>
            </c:numRef>
          </c:val>
          <c:extLst xmlns:c16r2="http://schemas.microsoft.com/office/drawing/2015/06/chart">
            <c:ext xmlns:c16="http://schemas.microsoft.com/office/drawing/2014/chart" uri="{C3380CC4-5D6E-409C-BE32-E72D297353CC}">
              <c16:uniqueId val="{00000000-C31B-45AB-9D4A-260BF6F1FD74}"/>
            </c:ext>
          </c:extLst>
        </c:ser>
        <c:dLbls>
          <c:showLegendKey val="0"/>
          <c:showVal val="0"/>
          <c:showCatName val="0"/>
          <c:showSerName val="0"/>
          <c:showPercent val="0"/>
          <c:showBubbleSize val="0"/>
        </c:dLbls>
        <c:gapWidth val="150"/>
        <c:shape val="box"/>
        <c:axId val="433717544"/>
        <c:axId val="439065256"/>
        <c:axId val="0"/>
      </c:bar3DChart>
      <c:catAx>
        <c:axId val="4337175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Exam Group Average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065256"/>
        <c:crosses val="autoZero"/>
        <c:auto val="1"/>
        <c:lblAlgn val="ctr"/>
        <c:lblOffset val="100"/>
        <c:noMultiLvlLbl val="0"/>
      </c:catAx>
      <c:valAx>
        <c:axId val="439065256"/>
        <c:scaling>
          <c:orientation val="minMax"/>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Average HAPS Score</a:t>
                </a:r>
                <a:r>
                  <a:rPr lang="en-US" baseline="0"/>
                  <a:t> since Winter 2010</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717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Course grade vs. Final exam</a:t>
            </a:r>
            <a:r>
              <a:rPr lang="en-US" baseline="0"/>
              <a:t> score</a:t>
            </a:r>
            <a:endParaRPr lang="en-US"/>
          </a:p>
        </c:rich>
      </c:tx>
      <c:layout>
        <c:manualLayout>
          <c:xMode val="edge"/>
          <c:yMode val="edge"/>
          <c:x val="0.31740903354822581"/>
          <c:y val="4.120676013354884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864585475202682E-2"/>
          <c:y val="2.8368794326241134E-2"/>
          <c:w val="0.89650971047973838"/>
          <c:h val="0.82009965066423429"/>
        </c:manualLayout>
      </c:layout>
      <c:lineChart>
        <c:grouping val="standard"/>
        <c:varyColors val="0"/>
        <c:ser>
          <c:idx val="0"/>
          <c:order val="0"/>
          <c:tx>
            <c:strRef>
              <c:f>Sheet1!$B$1</c:f>
              <c:strCache>
                <c:ptCount val="1"/>
                <c:pt idx="0">
                  <c:v>W18</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Sheet1!$A$2:$A$12</c:f>
              <c:strCache>
                <c:ptCount val="11"/>
                <c:pt idx="0">
                  <c:v>A</c:v>
                </c:pt>
                <c:pt idx="1">
                  <c:v>A-</c:v>
                </c:pt>
                <c:pt idx="2">
                  <c:v>B+</c:v>
                </c:pt>
                <c:pt idx="3">
                  <c:v>B</c:v>
                </c:pt>
                <c:pt idx="4">
                  <c:v>B-</c:v>
                </c:pt>
                <c:pt idx="5">
                  <c:v>C+</c:v>
                </c:pt>
                <c:pt idx="6">
                  <c:v>C</c:v>
                </c:pt>
                <c:pt idx="7">
                  <c:v>C-</c:v>
                </c:pt>
                <c:pt idx="8">
                  <c:v>D+</c:v>
                </c:pt>
                <c:pt idx="9">
                  <c:v>D</c:v>
                </c:pt>
                <c:pt idx="10">
                  <c:v>E</c:v>
                </c:pt>
              </c:strCache>
            </c:strRef>
          </c:cat>
          <c:val>
            <c:numRef>
              <c:f>Sheet1!$B$2:$B$12</c:f>
              <c:numCache>
                <c:formatCode>General</c:formatCode>
                <c:ptCount val="11"/>
                <c:pt idx="0">
                  <c:v>87.1</c:v>
                </c:pt>
                <c:pt idx="1">
                  <c:v>79.8</c:v>
                </c:pt>
                <c:pt idx="2">
                  <c:v>73.5</c:v>
                </c:pt>
                <c:pt idx="3">
                  <c:v>72.400000000000006</c:v>
                </c:pt>
                <c:pt idx="4">
                  <c:v>69.3</c:v>
                </c:pt>
                <c:pt idx="5">
                  <c:v>59.6</c:v>
                </c:pt>
                <c:pt idx="6">
                  <c:v>62.4</c:v>
                </c:pt>
                <c:pt idx="7">
                  <c:v>57.6</c:v>
                </c:pt>
                <c:pt idx="8">
                  <c:v>50.7</c:v>
                </c:pt>
                <c:pt idx="9">
                  <c:v>46.5</c:v>
                </c:pt>
                <c:pt idx="10">
                  <c:v>52</c:v>
                </c:pt>
              </c:numCache>
            </c:numRef>
          </c:val>
          <c:smooth val="0"/>
          <c:extLst xmlns:c16r2="http://schemas.microsoft.com/office/drawing/2015/06/chart">
            <c:ext xmlns:c16="http://schemas.microsoft.com/office/drawing/2014/chart" uri="{C3380CC4-5D6E-409C-BE32-E72D297353CC}">
              <c16:uniqueId val="{00000000-F45D-4DE1-AC9A-7C8D8D1F0604}"/>
            </c:ext>
          </c:extLst>
        </c:ser>
        <c:ser>
          <c:idx val="1"/>
          <c:order val="1"/>
          <c:tx>
            <c:strRef>
              <c:f>Sheet1!$C$1</c:f>
              <c:strCache>
                <c:ptCount val="1"/>
                <c:pt idx="0">
                  <c:v>F17</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Sheet1!$C$2:$C$12</c:f>
              <c:numCache>
                <c:formatCode>General</c:formatCode>
                <c:ptCount val="11"/>
                <c:pt idx="0">
                  <c:v>87.7</c:v>
                </c:pt>
                <c:pt idx="1">
                  <c:v>76.7</c:v>
                </c:pt>
                <c:pt idx="2">
                  <c:v>75.599999999999994</c:v>
                </c:pt>
                <c:pt idx="3">
                  <c:v>68.7</c:v>
                </c:pt>
                <c:pt idx="4">
                  <c:v>64.7</c:v>
                </c:pt>
                <c:pt idx="5">
                  <c:v>59.6</c:v>
                </c:pt>
                <c:pt idx="6">
                  <c:v>55</c:v>
                </c:pt>
                <c:pt idx="7">
                  <c:v>41.6</c:v>
                </c:pt>
                <c:pt idx="8">
                  <c:v>50</c:v>
                </c:pt>
                <c:pt idx="9">
                  <c:v>43</c:v>
                </c:pt>
                <c:pt idx="10">
                  <c:v>41.3</c:v>
                </c:pt>
              </c:numCache>
            </c:numRef>
          </c:val>
          <c:smooth val="0"/>
          <c:extLst xmlns:c16r2="http://schemas.microsoft.com/office/drawing/2015/06/chart">
            <c:ext xmlns:c16="http://schemas.microsoft.com/office/drawing/2014/chart" uri="{C3380CC4-5D6E-409C-BE32-E72D297353CC}">
              <c16:uniqueId val="{00000001-F45D-4DE1-AC9A-7C8D8D1F0604}"/>
            </c:ext>
          </c:extLst>
        </c:ser>
        <c:ser>
          <c:idx val="2"/>
          <c:order val="2"/>
          <c:tx>
            <c:strRef>
              <c:f>Sheet1!$D$1</c:f>
              <c:strCache>
                <c:ptCount val="1"/>
                <c:pt idx="0">
                  <c:v>Sp17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val>
            <c:numRef>
              <c:f>Sheet1!$D$2:$D$12</c:f>
              <c:numCache>
                <c:formatCode>0.0</c:formatCode>
                <c:ptCount val="11"/>
                <c:pt idx="0">
                  <c:v>87.5</c:v>
                </c:pt>
                <c:pt idx="1">
                  <c:v>84.6</c:v>
                </c:pt>
                <c:pt idx="2">
                  <c:v>81.8</c:v>
                </c:pt>
                <c:pt idx="3">
                  <c:v>72.5</c:v>
                </c:pt>
                <c:pt idx="4">
                  <c:v>70.3</c:v>
                </c:pt>
                <c:pt idx="5">
                  <c:v>61.5</c:v>
                </c:pt>
                <c:pt idx="6">
                  <c:v>61.17</c:v>
                </c:pt>
                <c:pt idx="7">
                  <c:v>59.8</c:v>
                </c:pt>
                <c:pt idx="8">
                  <c:v>63.3</c:v>
                </c:pt>
                <c:pt idx="9">
                  <c:v>45.7</c:v>
                </c:pt>
                <c:pt idx="10">
                  <c:v>46.2</c:v>
                </c:pt>
              </c:numCache>
            </c:numRef>
          </c:val>
          <c:smooth val="0"/>
          <c:extLst xmlns:c16r2="http://schemas.microsoft.com/office/drawing/2015/06/chart">
            <c:ext xmlns:c16="http://schemas.microsoft.com/office/drawing/2014/chart" uri="{C3380CC4-5D6E-409C-BE32-E72D297353CC}">
              <c16:uniqueId val="{00000002-F45D-4DE1-AC9A-7C8D8D1F0604}"/>
            </c:ext>
          </c:extLst>
        </c:ser>
        <c:ser>
          <c:idx val="3"/>
          <c:order val="3"/>
          <c:tx>
            <c:strRef>
              <c:f>Sheet1!$E$1</c:f>
              <c:strCache>
                <c:ptCount val="1"/>
                <c:pt idx="0">
                  <c:v>W17</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val>
            <c:numRef>
              <c:f>Sheet1!$E$2:$E$12</c:f>
              <c:numCache>
                <c:formatCode>General</c:formatCode>
                <c:ptCount val="11"/>
                <c:pt idx="0">
                  <c:v>90.2</c:v>
                </c:pt>
                <c:pt idx="1">
                  <c:v>81.400000000000006</c:v>
                </c:pt>
                <c:pt idx="2">
                  <c:v>77.2</c:v>
                </c:pt>
                <c:pt idx="3">
                  <c:v>73.900000000000006</c:v>
                </c:pt>
                <c:pt idx="4">
                  <c:v>72.900000000000006</c:v>
                </c:pt>
                <c:pt idx="5">
                  <c:v>66.599999999999994</c:v>
                </c:pt>
                <c:pt idx="6">
                  <c:v>63.1</c:v>
                </c:pt>
                <c:pt idx="7">
                  <c:v>59.7</c:v>
                </c:pt>
                <c:pt idx="8">
                  <c:v>46</c:v>
                </c:pt>
                <c:pt idx="9">
                  <c:v>52</c:v>
                </c:pt>
                <c:pt idx="10">
                  <c:v>56</c:v>
                </c:pt>
              </c:numCache>
            </c:numRef>
          </c:val>
          <c:smooth val="0"/>
          <c:extLst xmlns:c16r2="http://schemas.microsoft.com/office/drawing/2015/06/chart">
            <c:ext xmlns:c16="http://schemas.microsoft.com/office/drawing/2014/chart" uri="{C3380CC4-5D6E-409C-BE32-E72D297353CC}">
              <c16:uniqueId val="{00000003-F45D-4DE1-AC9A-7C8D8D1F0604}"/>
            </c:ext>
          </c:extLst>
        </c:ser>
        <c:dLbls>
          <c:showLegendKey val="0"/>
          <c:showVal val="0"/>
          <c:showCatName val="0"/>
          <c:showSerName val="0"/>
          <c:showPercent val="0"/>
          <c:showBubbleSize val="0"/>
        </c:dLbls>
        <c:marker val="1"/>
        <c:smooth val="0"/>
        <c:axId val="439064864"/>
        <c:axId val="652535112"/>
      </c:lineChart>
      <c:catAx>
        <c:axId val="4390648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Course Grade</a:t>
                </a:r>
              </a:p>
            </c:rich>
          </c:tx>
          <c:layout>
            <c:manualLayout>
              <c:xMode val="edge"/>
              <c:yMode val="edge"/>
              <c:x val="0.44383935878982866"/>
              <c:y val="0.8963747321444712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2535112"/>
        <c:crosses val="autoZero"/>
        <c:auto val="1"/>
        <c:lblAlgn val="ctr"/>
        <c:lblOffset val="100"/>
        <c:noMultiLvlLbl val="0"/>
      </c:catAx>
      <c:valAx>
        <c:axId val="652535112"/>
        <c:scaling>
          <c:orientation val="minMax"/>
          <c:min val="2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Final Exam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9064864"/>
        <c:crosses val="autoZero"/>
        <c:crossBetween val="between"/>
      </c:valAx>
      <c:spPr>
        <a:noFill/>
        <a:ln>
          <a:noFill/>
        </a:ln>
        <a:effectLst/>
      </c:spPr>
    </c:plotArea>
    <c:legend>
      <c:legendPos val="b"/>
      <c:layout>
        <c:manualLayout>
          <c:xMode val="edge"/>
          <c:yMode val="edge"/>
          <c:x val="0.28772651779183339"/>
          <c:y val="0.94186005819040064"/>
          <c:w val="0.42891854911578675"/>
          <c:h val="5.81399418095993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Sp18 Exam Score/Pass</a:t>
            </a:r>
            <a:r>
              <a:rPr lang="en-US" baseline="0"/>
              <a:t> Rate Comparison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815048118985127"/>
          <c:y val="0.13930555555555557"/>
          <c:w val="0.82024715660542424"/>
          <c:h val="0.65512357830271217"/>
        </c:manualLayout>
      </c:layout>
      <c:barChart>
        <c:barDir val="col"/>
        <c:grouping val="clustered"/>
        <c:varyColors val="0"/>
        <c:ser>
          <c:idx val="0"/>
          <c:order val="0"/>
          <c:tx>
            <c:strRef>
              <c:f>[1]Summary!$C$18</c:f>
              <c:strCache>
                <c:ptCount val="1"/>
                <c:pt idx="0">
                  <c:v>Final Score</c:v>
                </c:pt>
              </c:strCache>
            </c:strRef>
          </c:tx>
          <c:spPr>
            <a:solidFill>
              <a:schemeClr val="accent1"/>
            </a:solidFill>
            <a:ln>
              <a:noFill/>
            </a:ln>
            <a:effectLst/>
          </c:spPr>
          <c:invertIfNegative val="0"/>
          <c:val>
            <c:numRef>
              <c:f>Summary!$C$19:$C$23</c:f>
              <c:numCache>
                <c:formatCode>General</c:formatCode>
                <c:ptCount val="5"/>
                <c:pt idx="0">
                  <c:v>73.099999999999994</c:v>
                </c:pt>
                <c:pt idx="1">
                  <c:v>68</c:v>
                </c:pt>
                <c:pt idx="2">
                  <c:v>73.400000000000006</c:v>
                </c:pt>
                <c:pt idx="3">
                  <c:v>65.099999999999994</c:v>
                </c:pt>
                <c:pt idx="4">
                  <c:v>68.3</c:v>
                </c:pt>
              </c:numCache>
            </c:numRef>
          </c:val>
          <c:extLst xmlns:c16r2="http://schemas.microsoft.com/office/drawing/2015/06/chart">
            <c:ext xmlns:c16="http://schemas.microsoft.com/office/drawing/2014/chart" uri="{C3380CC4-5D6E-409C-BE32-E72D297353CC}">
              <c16:uniqueId val="{00000000-1A84-43C6-B0E8-A3D99D3614DC}"/>
            </c:ext>
          </c:extLst>
        </c:ser>
        <c:ser>
          <c:idx val="1"/>
          <c:order val="1"/>
          <c:tx>
            <c:strRef>
              <c:f>[1]Summary!$E$18</c:f>
              <c:strCache>
                <c:ptCount val="1"/>
                <c:pt idx="0">
                  <c:v>TF Pass Rate</c:v>
                </c:pt>
              </c:strCache>
            </c:strRef>
          </c:tx>
          <c:spPr>
            <a:solidFill>
              <a:schemeClr val="accent2"/>
            </a:solidFill>
            <a:ln>
              <a:noFill/>
            </a:ln>
            <a:effectLst/>
          </c:spPr>
          <c:invertIfNegative val="0"/>
          <c:val>
            <c:numRef>
              <c:f>Summary!$E$19:$E$23</c:f>
              <c:numCache>
                <c:formatCode>0</c:formatCode>
                <c:ptCount val="5"/>
                <c:pt idx="0">
                  <c:v>77</c:v>
                </c:pt>
                <c:pt idx="1">
                  <c:v>86</c:v>
                </c:pt>
                <c:pt idx="2">
                  <c:v>83</c:v>
                </c:pt>
                <c:pt idx="3">
                  <c:v>66</c:v>
                </c:pt>
                <c:pt idx="4">
                  <c:v>93</c:v>
                </c:pt>
              </c:numCache>
            </c:numRef>
          </c:val>
          <c:extLst xmlns:c16r2="http://schemas.microsoft.com/office/drawing/2015/06/chart">
            <c:ext xmlns:c16="http://schemas.microsoft.com/office/drawing/2014/chart" uri="{C3380CC4-5D6E-409C-BE32-E72D297353CC}">
              <c16:uniqueId val="{00000001-1A84-43C6-B0E8-A3D99D3614DC}"/>
            </c:ext>
          </c:extLst>
        </c:ser>
        <c:dLbls>
          <c:showLegendKey val="0"/>
          <c:showVal val="0"/>
          <c:showCatName val="0"/>
          <c:showSerName val="0"/>
          <c:showPercent val="0"/>
          <c:showBubbleSize val="0"/>
        </c:dLbls>
        <c:gapWidth val="219"/>
        <c:overlap val="-27"/>
        <c:axId val="652535896"/>
        <c:axId val="652536288"/>
      </c:barChart>
      <c:catAx>
        <c:axId val="6525358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Instructor</a:t>
                </a:r>
              </a:p>
            </c:rich>
          </c:tx>
          <c:layout>
            <c:manualLayout>
              <c:xMode val="edge"/>
              <c:yMode val="edge"/>
              <c:x val="0.46564147522796762"/>
              <c:y val="0.8557936581131020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2536288"/>
        <c:crosses val="autoZero"/>
        <c:auto val="1"/>
        <c:lblAlgn val="ctr"/>
        <c:lblOffset val="100"/>
        <c:noMultiLvlLbl val="0"/>
      </c:catAx>
      <c:valAx>
        <c:axId val="652536288"/>
        <c:scaling>
          <c:orientation val="minMax"/>
          <c:max val="100"/>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2535896"/>
        <c:crosses val="autoZero"/>
        <c:crossBetween val="between"/>
        <c:majorUnit val="10"/>
      </c:valAx>
      <c:spPr>
        <a:noFill/>
        <a:ln>
          <a:noFill/>
        </a:ln>
        <a:effectLst/>
      </c:spPr>
    </c:plotArea>
    <c:legend>
      <c:legendPos val="r"/>
      <c:layout>
        <c:manualLayout>
          <c:xMode val="edge"/>
          <c:yMode val="edge"/>
          <c:x val="0.31117541557305334"/>
          <c:y val="0.9128233449985419"/>
          <c:w val="0.42493569553805771"/>
          <c:h val="8.717665500145814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Tembo, Amunoo</dc:creator>
  <cp:keywords/>
  <dc:description/>
  <cp:lastModifiedBy>Tembo, Amunoo</cp:lastModifiedBy>
  <cp:revision>1</cp:revision>
  <dcterms:created xsi:type="dcterms:W3CDTF">2019-01-11T20:42:00Z</dcterms:created>
  <dcterms:modified xsi:type="dcterms:W3CDTF">2019-01-11T20:43:00Z</dcterms:modified>
</cp:coreProperties>
</file>