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FB" w:rsidRPr="003D79EF" w:rsidRDefault="002F53BB" w:rsidP="003A1313">
      <w:pPr>
        <w:pStyle w:val="Title"/>
        <w:pBdr>
          <w:bottom w:val="single" w:sz="4" w:space="1" w:color="auto"/>
        </w:pBdr>
        <w:rPr>
          <w:sz w:val="52"/>
          <w:szCs w:val="52"/>
        </w:rPr>
      </w:pPr>
      <w:r w:rsidRPr="003D79EF">
        <w:rPr>
          <w:sz w:val="52"/>
          <w:szCs w:val="52"/>
        </w:rPr>
        <w:t>LS 101</w:t>
      </w:r>
      <w:r w:rsidR="00CD53FB" w:rsidRPr="003D79EF">
        <w:rPr>
          <w:sz w:val="52"/>
          <w:szCs w:val="52"/>
        </w:rPr>
        <w:t>, Introduction to Research, Assessment Project</w:t>
      </w:r>
    </w:p>
    <w:p w:rsidR="00EE2E0E" w:rsidRDefault="00EE2E0E" w:rsidP="00EE2E0E"/>
    <w:p w:rsidR="003A1313" w:rsidRDefault="00EE2E0E" w:rsidP="00EE2E0E">
      <w:r>
        <w:t>Prepared by Heather Marie Gillanders, 11/20/15</w:t>
      </w:r>
    </w:p>
    <w:p w:rsidR="00DD2F75" w:rsidRDefault="00DD2F75" w:rsidP="00DD2F75">
      <w:pPr>
        <w:pStyle w:val="Heading1"/>
      </w:pPr>
      <w:r>
        <w:t>Introduction</w:t>
      </w:r>
    </w:p>
    <w:p w:rsidR="008B66F3" w:rsidRPr="00E23F3D" w:rsidRDefault="008B66F3" w:rsidP="008B66F3">
      <w:r w:rsidRPr="00E23F3D">
        <w:t xml:space="preserve">In fall 2014, the library conducted </w:t>
      </w:r>
      <w:r w:rsidR="005E3388">
        <w:t xml:space="preserve">an assessment project </w:t>
      </w:r>
      <w:r w:rsidR="00301C0C">
        <w:t>for LS 101, Introduction to Research</w:t>
      </w:r>
      <w:r w:rsidRPr="00E23F3D">
        <w:t>. Our goal wa</w:t>
      </w:r>
      <w:r w:rsidR="005E3388">
        <w:t xml:space="preserve">s </w:t>
      </w:r>
      <w:r w:rsidRPr="00E23F3D">
        <w:t>to measure how well students are meeting the course learning outcomes (CLOs</w:t>
      </w:r>
      <w:r w:rsidR="00603884">
        <w:t>)</w:t>
      </w:r>
      <w:r w:rsidR="005E3388">
        <w:t xml:space="preserve">, </w:t>
      </w:r>
      <w:r w:rsidRPr="00E23F3D">
        <w:t>identify areas for improvement</w:t>
      </w:r>
      <w:r w:rsidR="005E3388">
        <w:t xml:space="preserve">, and determine if any of the CLOs needed to be </w:t>
      </w:r>
      <w:r w:rsidRPr="00E23F3D">
        <w:t>refine</w:t>
      </w:r>
      <w:r w:rsidR="005E3388">
        <w:t>d/changed.</w:t>
      </w:r>
    </w:p>
    <w:p w:rsidR="00CD53FB" w:rsidRPr="004F3E28" w:rsidRDefault="00CD53FB" w:rsidP="00DD2F75">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2F53BB"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supports the </w:t>
      </w:r>
      <w:r w:rsidR="002F53BB" w:rsidRPr="004F3E28">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Learning</w:t>
      </w:r>
      <w:r w:rsidR="002F53BB"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goal of the </w:t>
      </w:r>
      <w:r w:rsidR="008425C3"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TCC </w:t>
      </w:r>
      <w:r w:rsidR="002F53BB"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Strategic Plan:  </w:t>
      </w:r>
    </w:p>
    <w:p w:rsidR="00CD53FB" w:rsidRPr="004F3E28" w:rsidRDefault="002F53BB" w:rsidP="00CD53FB">
      <w:pPr>
        <w:pStyle w:val="IntenseQuot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E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and assess learning outcomes to ensure students transition successfully with the necessary knowledge and skills for further education and responsible citizenship in a global society. </w:t>
      </w:r>
    </w:p>
    <w:p w:rsidR="00DD2F75" w:rsidRDefault="00DD2F75" w:rsidP="00DD2F75">
      <w:pPr>
        <w:pStyle w:val="Heading1"/>
      </w:pPr>
      <w:r>
        <w:t>Method</w:t>
      </w:r>
    </w:p>
    <w:p w:rsidR="00291A5B" w:rsidRDefault="00291A5B" w:rsidP="002F53BB">
      <w:r w:rsidRPr="00167E2C">
        <w:rPr>
          <w:b/>
        </w:rPr>
        <w:t xml:space="preserve">A 30-question pretest and posttest were collaboratively developed by 4 TCC librarians using </w:t>
      </w:r>
      <w:proofErr w:type="spellStart"/>
      <w:r w:rsidRPr="00167E2C">
        <w:rPr>
          <w:b/>
        </w:rPr>
        <w:t>SurveyMonkey</w:t>
      </w:r>
      <w:proofErr w:type="spellEnd"/>
      <w:r w:rsidRPr="00167E2C">
        <w:rPr>
          <w:b/>
        </w:rPr>
        <w:t>.</w:t>
      </w:r>
      <w:r w:rsidRPr="00291A5B">
        <w:t xml:space="preserve"> The questions for both</w:t>
      </w:r>
      <w:r w:rsidR="00B26FBE">
        <w:t xml:space="preserve"> were</w:t>
      </w:r>
      <w:r w:rsidRPr="00291A5B">
        <w:t xml:space="preserve"> the same</w:t>
      </w:r>
      <w:r w:rsidR="00B26FBE">
        <w:t xml:space="preserve"> and</w:t>
      </w:r>
      <w:r w:rsidRPr="00291A5B">
        <w:t xml:space="preserve"> were developed specifically to address all 7 CLOs for LS 101, each of which is mapped to our program learning outcomes (PLOs).</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Follow a plan for finding information using a variety of electronic and print tools (PLO: 1, 2, 3)</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Generate research questions and create a thesis based on the analysis of resources (PLO: 2, 3, 5)</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Demonstrate basic use of electronic search strategies, such as Boolean</w:t>
      </w:r>
      <w:r w:rsidR="0008159D" w:rsidRPr="00D446B7">
        <w:rPr>
          <w:rStyle w:val="SubtleEmphasis"/>
        </w:rPr>
        <w:t xml:space="preserve"> operators and phrase searching </w:t>
      </w:r>
      <w:r w:rsidRPr="00D446B7">
        <w:rPr>
          <w:rStyle w:val="SubtleEmphasis"/>
        </w:rPr>
        <w:t>(PLO: 2)</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Describe the standard criteria that qualify information sources as appropriate to use in academic research projects (PLO: 1, 3)</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Describe and collect the elements necessary for a citation in a standard style (PLO: 4)</w:t>
      </w:r>
    </w:p>
    <w:p w:rsidR="00B26FBE" w:rsidRPr="00D446B7" w:rsidRDefault="00B26FBE" w:rsidP="00B26FBE">
      <w:pPr>
        <w:pStyle w:val="ListParagraph"/>
        <w:numPr>
          <w:ilvl w:val="0"/>
          <w:numId w:val="1"/>
        </w:numPr>
        <w:spacing w:after="0" w:line="240" w:lineRule="auto"/>
        <w:rPr>
          <w:rStyle w:val="SubtleEmphasis"/>
        </w:rPr>
      </w:pPr>
      <w:r w:rsidRPr="00D446B7">
        <w:rPr>
          <w:rStyle w:val="SubtleEmphasis"/>
        </w:rPr>
        <w:t>Incorporate information from research into a written product, using appropriate academic style (PLO: 5)</w:t>
      </w:r>
    </w:p>
    <w:p w:rsidR="00B26FBE" w:rsidRPr="00D446B7" w:rsidRDefault="00B26FBE" w:rsidP="00B26FBE">
      <w:pPr>
        <w:pStyle w:val="ListParagraph"/>
        <w:numPr>
          <w:ilvl w:val="0"/>
          <w:numId w:val="1"/>
        </w:numPr>
        <w:rPr>
          <w:rStyle w:val="SubtleEmphasis"/>
        </w:rPr>
      </w:pPr>
      <w:r w:rsidRPr="00D446B7">
        <w:rPr>
          <w:rStyle w:val="SubtleEmphasis"/>
        </w:rPr>
        <w:t xml:space="preserve">Identify and </w:t>
      </w:r>
      <w:r w:rsidR="00500F05">
        <w:rPr>
          <w:rStyle w:val="SubtleEmphasis"/>
        </w:rPr>
        <w:t>explain the differences between</w:t>
      </w:r>
      <w:r w:rsidRPr="00D446B7">
        <w:rPr>
          <w:rStyle w:val="SubtleEmphasis"/>
        </w:rPr>
        <w:t xml:space="preserve"> major types of information resources (e.g., books, lay periodicals, scholarly journals, wikis, etc.) (PLO: 2)</w:t>
      </w:r>
    </w:p>
    <w:p w:rsidR="00B26FBE" w:rsidRDefault="00B26FBE" w:rsidP="002F53BB">
      <w:r w:rsidRPr="00DE26D7">
        <w:t>The pretest was administered at t</w:t>
      </w:r>
      <w:r w:rsidR="004F34CD">
        <w:t xml:space="preserve">he beginning of </w:t>
      </w:r>
      <w:proofErr w:type="gramStart"/>
      <w:r w:rsidR="004F34CD">
        <w:t>F</w:t>
      </w:r>
      <w:r w:rsidRPr="00DE26D7">
        <w:t>all</w:t>
      </w:r>
      <w:proofErr w:type="gramEnd"/>
      <w:r w:rsidRPr="00DE26D7">
        <w:t xml:space="preserve"> </w:t>
      </w:r>
      <w:r w:rsidR="004F34CD">
        <w:t>2014</w:t>
      </w:r>
      <w:r w:rsidRPr="00DE26D7">
        <w:t xml:space="preserve">, the posttest at the end of </w:t>
      </w:r>
      <w:r w:rsidR="004F34CD">
        <w:t>Fall 2014</w:t>
      </w:r>
      <w:r w:rsidRPr="00DE26D7">
        <w:t xml:space="preserve">, and results </w:t>
      </w:r>
      <w:r w:rsidR="00C5728B">
        <w:t xml:space="preserve">were collected by </w:t>
      </w:r>
      <w:proofErr w:type="spellStart"/>
      <w:r w:rsidR="00C5728B">
        <w:t>SurveyMonkey</w:t>
      </w:r>
      <w:proofErr w:type="spellEnd"/>
      <w:r w:rsidR="00C5728B">
        <w:t>.</w:t>
      </w:r>
      <w:r w:rsidR="00BE5809">
        <w:t xml:space="preserve"> Data analysis was performed by one librarian.</w:t>
      </w:r>
    </w:p>
    <w:p w:rsidR="00B86366" w:rsidRPr="00167E2C" w:rsidRDefault="00B86366" w:rsidP="002F53BB">
      <w:pPr>
        <w:rPr>
          <w:b/>
        </w:rPr>
      </w:pPr>
      <w:r w:rsidRPr="00167E2C">
        <w:rPr>
          <w:b/>
        </w:rPr>
        <w:t>Our goal was for 80% of students to demonstrate attainment of each of the CLOs in the posttest by correctly answering each of the questions.</w:t>
      </w:r>
    </w:p>
    <w:p w:rsidR="00DD2F75" w:rsidRDefault="00DD2F75" w:rsidP="00DD2F75">
      <w:pPr>
        <w:pStyle w:val="Heading1"/>
      </w:pPr>
      <w:r>
        <w:t>Results</w:t>
      </w:r>
    </w:p>
    <w:p w:rsidR="00DE5E17" w:rsidRDefault="0075473B" w:rsidP="002F53BB">
      <w:r>
        <w:t>There were a total of</w:t>
      </w:r>
      <w:r w:rsidR="00257F09" w:rsidRPr="008912B2">
        <w:t xml:space="preserve"> 33 respondents amongst</w:t>
      </w:r>
      <w:r w:rsidR="00257F09">
        <w:t xml:space="preserve"> all</w:t>
      </w:r>
      <w:r w:rsidR="00257F09" w:rsidRPr="008912B2">
        <w:t xml:space="preserve"> 3 fall quarter classes (1 hybrid, 2 full online). </w:t>
      </w:r>
      <w:r w:rsidR="00257F09">
        <w:t>The total enrollment for these 3 classes was 64, so over 50% of students participated.</w:t>
      </w:r>
    </w:p>
    <w:p w:rsidR="00044261" w:rsidRDefault="00044261">
      <w:pPr>
        <w:rPr>
          <w:b/>
        </w:rPr>
      </w:pPr>
      <w:r>
        <w:rPr>
          <w:b/>
        </w:rPr>
        <w:br w:type="page"/>
      </w:r>
    </w:p>
    <w:p w:rsidR="002F53BB" w:rsidRPr="002A14BB" w:rsidRDefault="00D10F02" w:rsidP="002F53BB">
      <w:pPr>
        <w:rPr>
          <w:b/>
        </w:rPr>
      </w:pPr>
      <w:r w:rsidRPr="002A14BB">
        <w:rPr>
          <w:b/>
        </w:rPr>
        <w:lastRenderedPageBreak/>
        <w:t xml:space="preserve">As the following table illustrates, students </w:t>
      </w:r>
      <w:r w:rsidR="00BB2932" w:rsidRPr="002A14BB">
        <w:rPr>
          <w:b/>
        </w:rPr>
        <w:t>had varied success with achievement of the CLOs.</w:t>
      </w:r>
    </w:p>
    <w:tbl>
      <w:tblPr>
        <w:tblW w:w="10705" w:type="dxa"/>
        <w:tblLook w:val="04A0" w:firstRow="1" w:lastRow="0" w:firstColumn="1" w:lastColumn="0" w:noHBand="0" w:noVBand="1"/>
      </w:tblPr>
      <w:tblGrid>
        <w:gridCol w:w="4765"/>
        <w:gridCol w:w="900"/>
        <w:gridCol w:w="1800"/>
        <w:gridCol w:w="1710"/>
        <w:gridCol w:w="1530"/>
      </w:tblGrid>
      <w:tr w:rsidR="00DC77B9" w:rsidRPr="00DC77B9" w:rsidTr="00F1369D">
        <w:trPr>
          <w:trHeight w:val="300"/>
        </w:trPr>
        <w:tc>
          <w:tcPr>
            <w:tcW w:w="4765" w:type="dxa"/>
            <w:tcBorders>
              <w:top w:val="single" w:sz="4" w:space="0" w:color="auto"/>
              <w:left w:val="single" w:sz="4" w:space="0" w:color="auto"/>
              <w:bottom w:val="single" w:sz="4" w:space="0" w:color="auto"/>
              <w:right w:val="single" w:sz="4" w:space="0" w:color="auto"/>
            </w:tcBorders>
            <w:shd w:val="clear" w:color="auto" w:fill="auto"/>
            <w:hideMark/>
          </w:tcPr>
          <w:p w:rsidR="00DC77B9" w:rsidRPr="00DC77B9" w:rsidRDefault="00DC77B9" w:rsidP="00DC77B9">
            <w:pPr>
              <w:spacing w:after="0" w:line="240" w:lineRule="auto"/>
              <w:rPr>
                <w:rFonts w:ascii="Calibri" w:eastAsia="Times New Roman" w:hAnsi="Calibri" w:cs="Times New Roman"/>
                <w:b/>
                <w:bCs/>
                <w:color w:val="000000"/>
              </w:rPr>
            </w:pPr>
            <w:r w:rsidRPr="00DC77B9">
              <w:rPr>
                <w:rFonts w:ascii="Calibri" w:eastAsia="Times New Roman" w:hAnsi="Calibri" w:cs="Times New Roman"/>
                <w:b/>
                <w:bCs/>
                <w:color w:val="000000"/>
              </w:rPr>
              <w:t>Skill</w:t>
            </w:r>
          </w:p>
        </w:tc>
        <w:tc>
          <w:tcPr>
            <w:tcW w:w="900" w:type="dxa"/>
            <w:tcBorders>
              <w:top w:val="single" w:sz="4" w:space="0" w:color="auto"/>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b/>
                <w:bCs/>
                <w:color w:val="000000"/>
              </w:rPr>
            </w:pPr>
            <w:r w:rsidRPr="00DC77B9">
              <w:rPr>
                <w:rFonts w:ascii="Calibri" w:eastAsia="Times New Roman" w:hAnsi="Calibri" w:cs="Times New Roman"/>
                <w:b/>
                <w:bCs/>
                <w:color w:val="000000"/>
              </w:rPr>
              <w:t xml:space="preserve">CLO </w:t>
            </w:r>
          </w:p>
        </w:tc>
        <w:tc>
          <w:tcPr>
            <w:tcW w:w="1800" w:type="dxa"/>
            <w:tcBorders>
              <w:top w:val="single" w:sz="4" w:space="0" w:color="auto"/>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b/>
                <w:bCs/>
                <w:color w:val="000000"/>
              </w:rPr>
            </w:pPr>
            <w:r w:rsidRPr="00DC77B9">
              <w:rPr>
                <w:rFonts w:ascii="Calibri" w:eastAsia="Times New Roman" w:hAnsi="Calibri" w:cs="Times New Roman"/>
                <w:b/>
                <w:bCs/>
                <w:color w:val="000000"/>
              </w:rPr>
              <w:t>Success rate (Pretest)</w:t>
            </w:r>
          </w:p>
        </w:tc>
        <w:tc>
          <w:tcPr>
            <w:tcW w:w="1710" w:type="dxa"/>
            <w:tcBorders>
              <w:top w:val="single" w:sz="4" w:space="0" w:color="auto"/>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b/>
                <w:bCs/>
                <w:color w:val="000000"/>
              </w:rPr>
            </w:pPr>
            <w:r w:rsidRPr="00DC77B9">
              <w:rPr>
                <w:rFonts w:ascii="Calibri" w:eastAsia="Times New Roman" w:hAnsi="Calibri" w:cs="Times New Roman"/>
                <w:b/>
                <w:bCs/>
                <w:color w:val="000000"/>
              </w:rPr>
              <w:t>Success rate (Posttest)</w:t>
            </w:r>
          </w:p>
        </w:tc>
        <w:tc>
          <w:tcPr>
            <w:tcW w:w="1530" w:type="dxa"/>
            <w:tcBorders>
              <w:top w:val="single" w:sz="4" w:space="0" w:color="auto"/>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b/>
                <w:bCs/>
                <w:color w:val="000000"/>
              </w:rPr>
            </w:pPr>
            <w:r w:rsidRPr="00DC77B9">
              <w:rPr>
                <w:rFonts w:ascii="Calibri" w:eastAsia="Times New Roman" w:hAnsi="Calibri" w:cs="Times New Roman"/>
                <w:b/>
                <w:bCs/>
                <w:color w:val="000000"/>
              </w:rPr>
              <w:t>Gain/</w:t>
            </w:r>
            <w:r w:rsidRPr="00DC77B9">
              <w:rPr>
                <w:rFonts w:ascii="Calibri" w:eastAsia="Times New Roman" w:hAnsi="Calibri" w:cs="Times New Roman"/>
                <w:b/>
                <w:bCs/>
                <w:color w:val="FF0000"/>
              </w:rPr>
              <w:t>Loss</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DDEBF7"/>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Using appropriate databases</w:t>
            </w:r>
          </w:p>
        </w:tc>
        <w:tc>
          <w:tcPr>
            <w:tcW w:w="9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w:t>
            </w:r>
          </w:p>
        </w:tc>
        <w:tc>
          <w:tcPr>
            <w:tcW w:w="18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76.00%</w:t>
            </w:r>
          </w:p>
        </w:tc>
        <w:tc>
          <w:tcPr>
            <w:tcW w:w="171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81.82%</w:t>
            </w:r>
          </w:p>
        </w:tc>
        <w:tc>
          <w:tcPr>
            <w:tcW w:w="153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5.82%</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E2EFDA"/>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Narrowing a broad topic</w:t>
            </w:r>
          </w:p>
        </w:tc>
        <w:tc>
          <w:tcPr>
            <w:tcW w:w="9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2</w:t>
            </w:r>
          </w:p>
        </w:tc>
        <w:tc>
          <w:tcPr>
            <w:tcW w:w="18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63.33%</w:t>
            </w:r>
          </w:p>
        </w:tc>
        <w:tc>
          <w:tcPr>
            <w:tcW w:w="171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79.31%</w:t>
            </w:r>
          </w:p>
        </w:tc>
        <w:tc>
          <w:tcPr>
            <w:tcW w:w="153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15.98%</w:t>
            </w:r>
          </w:p>
        </w:tc>
      </w:tr>
      <w:tr w:rsidR="00DC77B9" w:rsidRPr="00DC77B9" w:rsidTr="00F1369D">
        <w:trPr>
          <w:trHeight w:val="600"/>
        </w:trPr>
        <w:tc>
          <w:tcPr>
            <w:tcW w:w="4765" w:type="dxa"/>
            <w:tcBorders>
              <w:top w:val="nil"/>
              <w:left w:val="single" w:sz="4" w:space="0" w:color="auto"/>
              <w:bottom w:val="single" w:sz="4" w:space="0" w:color="auto"/>
              <w:right w:val="single" w:sz="4" w:space="0" w:color="auto"/>
            </w:tcBorders>
            <w:shd w:val="clear" w:color="auto" w:fill="auto"/>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an effective research question</w:t>
            </w:r>
          </w:p>
        </w:tc>
        <w:tc>
          <w:tcPr>
            <w:tcW w:w="9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2</w:t>
            </w:r>
          </w:p>
        </w:tc>
        <w:tc>
          <w:tcPr>
            <w:tcW w:w="18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60.00%</w:t>
            </w:r>
          </w:p>
        </w:tc>
        <w:tc>
          <w:tcPr>
            <w:tcW w:w="171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51.75%</w:t>
            </w:r>
          </w:p>
        </w:tc>
        <w:tc>
          <w:tcPr>
            <w:tcW w:w="153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FF0000"/>
              </w:rPr>
            </w:pPr>
            <w:r w:rsidRPr="00DC77B9">
              <w:rPr>
                <w:rFonts w:ascii="Calibri" w:eastAsia="Times New Roman" w:hAnsi="Calibri" w:cs="Times New Roman"/>
                <w:color w:val="FF0000"/>
              </w:rPr>
              <w:t>8.28%</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DDEBF7"/>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Using appropriate keywords</w:t>
            </w:r>
          </w:p>
        </w:tc>
        <w:tc>
          <w:tcPr>
            <w:tcW w:w="9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w:t>
            </w:r>
          </w:p>
        </w:tc>
        <w:tc>
          <w:tcPr>
            <w:tcW w:w="18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80.00%</w:t>
            </w:r>
          </w:p>
        </w:tc>
        <w:tc>
          <w:tcPr>
            <w:tcW w:w="171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86.90%</w:t>
            </w:r>
          </w:p>
        </w:tc>
        <w:tc>
          <w:tcPr>
            <w:tcW w:w="153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6.90%</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DDEBF7"/>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a phrase search</w:t>
            </w:r>
          </w:p>
        </w:tc>
        <w:tc>
          <w:tcPr>
            <w:tcW w:w="9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w:t>
            </w:r>
          </w:p>
        </w:tc>
        <w:tc>
          <w:tcPr>
            <w:tcW w:w="18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78.79%</w:t>
            </w:r>
          </w:p>
        </w:tc>
        <w:tc>
          <w:tcPr>
            <w:tcW w:w="171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90.91%</w:t>
            </w:r>
          </w:p>
        </w:tc>
        <w:tc>
          <w:tcPr>
            <w:tcW w:w="153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12.11%</w:t>
            </w:r>
          </w:p>
        </w:tc>
      </w:tr>
      <w:tr w:rsidR="00DC77B9" w:rsidRPr="001C1733" w:rsidTr="00F1369D">
        <w:trPr>
          <w:trHeight w:val="485"/>
        </w:trPr>
        <w:tc>
          <w:tcPr>
            <w:tcW w:w="4765" w:type="dxa"/>
            <w:tcBorders>
              <w:top w:val="nil"/>
              <w:left w:val="single" w:sz="4" w:space="0" w:color="auto"/>
              <w:bottom w:val="single" w:sz="4" w:space="0" w:color="auto"/>
              <w:right w:val="single" w:sz="4" w:space="0" w:color="auto"/>
            </w:tcBorders>
            <w:shd w:val="clear" w:color="000000" w:fill="FCE4D6"/>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Using a Boolean operator to narrow a search</w:t>
            </w:r>
          </w:p>
        </w:tc>
        <w:tc>
          <w:tcPr>
            <w:tcW w:w="9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w:t>
            </w:r>
          </w:p>
        </w:tc>
        <w:tc>
          <w:tcPr>
            <w:tcW w:w="18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42.42%</w:t>
            </w:r>
          </w:p>
        </w:tc>
        <w:tc>
          <w:tcPr>
            <w:tcW w:w="171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54.55%</w:t>
            </w:r>
          </w:p>
        </w:tc>
        <w:tc>
          <w:tcPr>
            <w:tcW w:w="153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12.13%</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E2EFDA"/>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Evaluating a Web site</w:t>
            </w:r>
          </w:p>
        </w:tc>
        <w:tc>
          <w:tcPr>
            <w:tcW w:w="9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4</w:t>
            </w:r>
          </w:p>
        </w:tc>
        <w:tc>
          <w:tcPr>
            <w:tcW w:w="18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63.27%</w:t>
            </w:r>
          </w:p>
        </w:tc>
        <w:tc>
          <w:tcPr>
            <w:tcW w:w="171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75.76%</w:t>
            </w:r>
          </w:p>
        </w:tc>
        <w:tc>
          <w:tcPr>
            <w:tcW w:w="153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12.49%</w:t>
            </w:r>
          </w:p>
        </w:tc>
      </w:tr>
      <w:tr w:rsidR="00DC77B9" w:rsidRPr="00DC77B9" w:rsidTr="00F1369D">
        <w:trPr>
          <w:trHeight w:val="300"/>
        </w:trPr>
        <w:tc>
          <w:tcPr>
            <w:tcW w:w="4765" w:type="dxa"/>
            <w:tcBorders>
              <w:top w:val="nil"/>
              <w:left w:val="single" w:sz="4" w:space="0" w:color="auto"/>
              <w:bottom w:val="single" w:sz="4" w:space="0" w:color="auto"/>
              <w:right w:val="single" w:sz="4" w:space="0" w:color="auto"/>
            </w:tcBorders>
            <w:shd w:val="clear" w:color="000000" w:fill="FCE4D6"/>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a citation style</w:t>
            </w:r>
          </w:p>
        </w:tc>
        <w:tc>
          <w:tcPr>
            <w:tcW w:w="9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w:t>
            </w:r>
          </w:p>
        </w:tc>
        <w:tc>
          <w:tcPr>
            <w:tcW w:w="18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33.33%</w:t>
            </w:r>
          </w:p>
        </w:tc>
        <w:tc>
          <w:tcPr>
            <w:tcW w:w="171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69.70%</w:t>
            </w:r>
          </w:p>
        </w:tc>
        <w:tc>
          <w:tcPr>
            <w:tcW w:w="153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24.25%</w:t>
            </w:r>
          </w:p>
        </w:tc>
      </w:tr>
      <w:tr w:rsidR="00DC77B9" w:rsidRPr="00DC77B9" w:rsidTr="00F1369D">
        <w:trPr>
          <w:trHeight w:val="512"/>
        </w:trPr>
        <w:tc>
          <w:tcPr>
            <w:tcW w:w="4765" w:type="dxa"/>
            <w:tcBorders>
              <w:top w:val="nil"/>
              <w:left w:val="single" w:sz="4" w:space="0" w:color="auto"/>
              <w:bottom w:val="single" w:sz="4" w:space="0" w:color="auto"/>
              <w:right w:val="single" w:sz="4" w:space="0" w:color="auto"/>
            </w:tcBorders>
            <w:shd w:val="clear" w:color="000000" w:fill="FCE4D6"/>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the journal title within a given citation</w:t>
            </w:r>
          </w:p>
        </w:tc>
        <w:tc>
          <w:tcPr>
            <w:tcW w:w="9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w:t>
            </w:r>
          </w:p>
        </w:tc>
        <w:tc>
          <w:tcPr>
            <w:tcW w:w="180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36.36%</w:t>
            </w:r>
          </w:p>
        </w:tc>
        <w:tc>
          <w:tcPr>
            <w:tcW w:w="171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54.55%</w:t>
            </w:r>
          </w:p>
        </w:tc>
        <w:tc>
          <w:tcPr>
            <w:tcW w:w="1530" w:type="dxa"/>
            <w:tcBorders>
              <w:top w:val="nil"/>
              <w:left w:val="nil"/>
              <w:bottom w:val="single" w:sz="4" w:space="0" w:color="auto"/>
              <w:right w:val="single" w:sz="4" w:space="0" w:color="auto"/>
            </w:tcBorders>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18.19%</w:t>
            </w:r>
          </w:p>
        </w:tc>
      </w:tr>
      <w:tr w:rsidR="00DC77B9" w:rsidRPr="00DC77B9" w:rsidTr="00F1369D">
        <w:trPr>
          <w:trHeight w:val="530"/>
        </w:trPr>
        <w:tc>
          <w:tcPr>
            <w:tcW w:w="4765" w:type="dxa"/>
            <w:tcBorders>
              <w:top w:val="nil"/>
              <w:left w:val="single" w:sz="4" w:space="0" w:color="auto"/>
              <w:bottom w:val="single" w:sz="4" w:space="0" w:color="auto"/>
              <w:right w:val="single" w:sz="4" w:space="0" w:color="auto"/>
            </w:tcBorders>
            <w:shd w:val="clear" w:color="auto" w:fill="auto"/>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a paraphrase that is not plagiarized</w:t>
            </w:r>
          </w:p>
        </w:tc>
        <w:tc>
          <w:tcPr>
            <w:tcW w:w="9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w:t>
            </w:r>
          </w:p>
        </w:tc>
        <w:tc>
          <w:tcPr>
            <w:tcW w:w="18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26.67%</w:t>
            </w:r>
          </w:p>
        </w:tc>
        <w:tc>
          <w:tcPr>
            <w:tcW w:w="171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20.69%</w:t>
            </w:r>
          </w:p>
        </w:tc>
        <w:tc>
          <w:tcPr>
            <w:tcW w:w="153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FF0000"/>
              </w:rPr>
            </w:pPr>
            <w:r w:rsidRPr="00DC77B9">
              <w:rPr>
                <w:rFonts w:ascii="Calibri" w:eastAsia="Times New Roman" w:hAnsi="Calibri" w:cs="Times New Roman"/>
                <w:color w:val="FF0000"/>
              </w:rPr>
              <w:t>5.98%</w:t>
            </w:r>
          </w:p>
        </w:tc>
      </w:tr>
      <w:tr w:rsidR="00DC77B9" w:rsidRPr="00DC77B9" w:rsidTr="00F1369D">
        <w:trPr>
          <w:trHeight w:val="710"/>
        </w:trPr>
        <w:tc>
          <w:tcPr>
            <w:tcW w:w="4765" w:type="dxa"/>
            <w:tcBorders>
              <w:top w:val="nil"/>
              <w:left w:val="single" w:sz="4" w:space="0" w:color="auto"/>
              <w:bottom w:val="single" w:sz="4" w:space="0" w:color="auto"/>
              <w:right w:val="single" w:sz="4" w:space="0" w:color="auto"/>
            </w:tcBorders>
            <w:shd w:val="clear" w:color="auto" w:fill="auto"/>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Selecting a newspaper article when it is the best source for a given information need</w:t>
            </w:r>
          </w:p>
        </w:tc>
        <w:tc>
          <w:tcPr>
            <w:tcW w:w="9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w:t>
            </w:r>
          </w:p>
        </w:tc>
        <w:tc>
          <w:tcPr>
            <w:tcW w:w="18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66.67%</w:t>
            </w:r>
          </w:p>
        </w:tc>
        <w:tc>
          <w:tcPr>
            <w:tcW w:w="171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69.70%</w:t>
            </w:r>
          </w:p>
        </w:tc>
        <w:tc>
          <w:tcPr>
            <w:tcW w:w="153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3.03%</w:t>
            </w:r>
          </w:p>
        </w:tc>
      </w:tr>
      <w:tr w:rsidR="00DC77B9" w:rsidRPr="00DC77B9" w:rsidTr="00F1369D">
        <w:trPr>
          <w:trHeight w:val="710"/>
        </w:trPr>
        <w:tc>
          <w:tcPr>
            <w:tcW w:w="4765" w:type="dxa"/>
            <w:tcBorders>
              <w:top w:val="nil"/>
              <w:left w:val="single" w:sz="4" w:space="0" w:color="auto"/>
              <w:bottom w:val="single" w:sz="4" w:space="0" w:color="auto"/>
              <w:right w:val="single" w:sz="4" w:space="0" w:color="auto"/>
            </w:tcBorders>
            <w:shd w:val="clear" w:color="auto" w:fill="auto"/>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Selecting a scholarly journal article when it is the best source for a given information need</w:t>
            </w:r>
          </w:p>
        </w:tc>
        <w:tc>
          <w:tcPr>
            <w:tcW w:w="9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w:t>
            </w:r>
          </w:p>
        </w:tc>
        <w:tc>
          <w:tcPr>
            <w:tcW w:w="180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72.73%</w:t>
            </w:r>
          </w:p>
        </w:tc>
        <w:tc>
          <w:tcPr>
            <w:tcW w:w="171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72.73%</w:t>
            </w:r>
          </w:p>
        </w:tc>
        <w:tc>
          <w:tcPr>
            <w:tcW w:w="1530" w:type="dxa"/>
            <w:tcBorders>
              <w:top w:val="nil"/>
              <w:left w:val="nil"/>
              <w:bottom w:val="single" w:sz="4" w:space="0" w:color="auto"/>
              <w:right w:val="single" w:sz="4" w:space="0" w:color="auto"/>
            </w:tcBorders>
            <w:shd w:val="clear" w:color="auto" w:fill="auto"/>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0.00%</w:t>
            </w:r>
          </w:p>
        </w:tc>
      </w:tr>
      <w:tr w:rsidR="00DC77B9" w:rsidRPr="00DC77B9" w:rsidTr="00F1369D">
        <w:trPr>
          <w:trHeight w:val="350"/>
        </w:trPr>
        <w:tc>
          <w:tcPr>
            <w:tcW w:w="4765" w:type="dxa"/>
            <w:tcBorders>
              <w:top w:val="nil"/>
              <w:left w:val="single" w:sz="4" w:space="0" w:color="auto"/>
              <w:bottom w:val="single" w:sz="4" w:space="0" w:color="auto"/>
              <w:right w:val="single" w:sz="4" w:space="0" w:color="auto"/>
            </w:tcBorders>
            <w:shd w:val="clear" w:color="000000" w:fill="DDEBF7"/>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Finding a scholarly article</w:t>
            </w:r>
          </w:p>
        </w:tc>
        <w:tc>
          <w:tcPr>
            <w:tcW w:w="9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4, 7</w:t>
            </w:r>
          </w:p>
        </w:tc>
        <w:tc>
          <w:tcPr>
            <w:tcW w:w="180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76.00%</w:t>
            </w:r>
          </w:p>
        </w:tc>
        <w:tc>
          <w:tcPr>
            <w:tcW w:w="171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81.82%</w:t>
            </w:r>
          </w:p>
        </w:tc>
        <w:tc>
          <w:tcPr>
            <w:tcW w:w="1530" w:type="dxa"/>
            <w:tcBorders>
              <w:top w:val="nil"/>
              <w:left w:val="nil"/>
              <w:bottom w:val="single" w:sz="4" w:space="0" w:color="auto"/>
              <w:right w:val="single" w:sz="4" w:space="0" w:color="auto"/>
            </w:tcBorders>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11.82%</w:t>
            </w:r>
          </w:p>
        </w:tc>
      </w:tr>
      <w:tr w:rsidR="00DC77B9" w:rsidRPr="00DC77B9" w:rsidTr="00F1369D">
        <w:trPr>
          <w:trHeight w:val="395"/>
        </w:trPr>
        <w:tc>
          <w:tcPr>
            <w:tcW w:w="4765" w:type="dxa"/>
            <w:tcBorders>
              <w:top w:val="nil"/>
              <w:left w:val="single" w:sz="4" w:space="0" w:color="auto"/>
              <w:bottom w:val="single" w:sz="4" w:space="0" w:color="auto"/>
              <w:right w:val="single" w:sz="4" w:space="0" w:color="auto"/>
            </w:tcBorders>
            <w:shd w:val="clear" w:color="000000" w:fill="E2EFDA"/>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Identifying the characteristics of a scholarly article</w:t>
            </w:r>
          </w:p>
        </w:tc>
        <w:tc>
          <w:tcPr>
            <w:tcW w:w="9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4, 7</w:t>
            </w:r>
          </w:p>
        </w:tc>
        <w:tc>
          <w:tcPr>
            <w:tcW w:w="180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63.27%</w:t>
            </w:r>
          </w:p>
        </w:tc>
        <w:tc>
          <w:tcPr>
            <w:tcW w:w="171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75.76%</w:t>
            </w:r>
          </w:p>
        </w:tc>
        <w:tc>
          <w:tcPr>
            <w:tcW w:w="1530" w:type="dxa"/>
            <w:tcBorders>
              <w:top w:val="nil"/>
              <w:left w:val="nil"/>
              <w:bottom w:val="single" w:sz="4" w:space="0" w:color="auto"/>
              <w:right w:val="single" w:sz="4" w:space="0" w:color="auto"/>
            </w:tcBorders>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12.49%</w:t>
            </w:r>
          </w:p>
        </w:tc>
      </w:tr>
    </w:tbl>
    <w:p w:rsidR="002B6433" w:rsidRDefault="002B6433" w:rsidP="002F53BB"/>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tblGrid>
      <w:tr w:rsidR="00F1369D" w:rsidRPr="00DC77B9" w:rsidTr="00F1369D">
        <w:trPr>
          <w:trHeight w:val="300"/>
        </w:trPr>
        <w:tc>
          <w:tcPr>
            <w:tcW w:w="5755" w:type="dxa"/>
            <w:shd w:val="clear" w:color="auto" w:fill="auto"/>
            <w:noWrap/>
          </w:tcPr>
          <w:p w:rsidR="00F1369D" w:rsidRPr="00F1369D" w:rsidRDefault="00F1369D" w:rsidP="00DC77B9">
            <w:pPr>
              <w:spacing w:after="0" w:line="240" w:lineRule="auto"/>
              <w:rPr>
                <w:rFonts w:ascii="Calibri" w:eastAsia="Times New Roman" w:hAnsi="Calibri" w:cs="Times New Roman"/>
                <w:b/>
                <w:color w:val="000000"/>
              </w:rPr>
            </w:pPr>
            <w:r w:rsidRPr="00F1369D">
              <w:rPr>
                <w:rFonts w:ascii="Calibri" w:eastAsia="Times New Roman" w:hAnsi="Calibri" w:cs="Times New Roman"/>
                <w:b/>
                <w:color w:val="000000"/>
              </w:rPr>
              <w:t>Table Key</w:t>
            </w:r>
          </w:p>
        </w:tc>
      </w:tr>
      <w:tr w:rsidR="00DC77B9" w:rsidRPr="00DC77B9" w:rsidTr="00DC77B9">
        <w:trPr>
          <w:trHeight w:val="300"/>
        </w:trPr>
        <w:tc>
          <w:tcPr>
            <w:tcW w:w="5755" w:type="dxa"/>
            <w:shd w:val="clear" w:color="000000" w:fill="DDEBF7"/>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Met 80% benchmark</w:t>
            </w:r>
          </w:p>
        </w:tc>
      </w:tr>
      <w:tr w:rsidR="00DC77B9" w:rsidRPr="00DC77B9" w:rsidTr="00DC77B9">
        <w:trPr>
          <w:trHeight w:val="300"/>
        </w:trPr>
        <w:tc>
          <w:tcPr>
            <w:tcW w:w="5755" w:type="dxa"/>
            <w:shd w:val="clear" w:color="000000" w:fill="E2EFDA"/>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Within 5% of 80% bench</w:t>
            </w:r>
            <w:r>
              <w:rPr>
                <w:rFonts w:ascii="Calibri" w:eastAsia="Times New Roman" w:hAnsi="Calibri" w:cs="Times New Roman"/>
                <w:color w:val="000000"/>
              </w:rPr>
              <w:t>m</w:t>
            </w:r>
            <w:r w:rsidRPr="00DC77B9">
              <w:rPr>
                <w:rFonts w:ascii="Calibri" w:eastAsia="Times New Roman" w:hAnsi="Calibri" w:cs="Times New Roman"/>
                <w:color w:val="000000"/>
              </w:rPr>
              <w:t>ark</w:t>
            </w:r>
          </w:p>
        </w:tc>
      </w:tr>
      <w:tr w:rsidR="00DC77B9" w:rsidRPr="00DC77B9" w:rsidTr="00DC77B9">
        <w:trPr>
          <w:trHeight w:val="305"/>
        </w:trPr>
        <w:tc>
          <w:tcPr>
            <w:tcW w:w="5755" w:type="dxa"/>
            <w:shd w:val="clear" w:color="000000" w:fill="FCE4D6"/>
            <w:noWrap/>
            <w:hideMark/>
          </w:tcPr>
          <w:p w:rsidR="00DC77B9" w:rsidRPr="00DC77B9" w:rsidRDefault="00DC77B9" w:rsidP="00DC77B9">
            <w:pPr>
              <w:spacing w:after="0" w:line="240" w:lineRule="auto"/>
              <w:rPr>
                <w:rFonts w:ascii="Calibri" w:eastAsia="Times New Roman" w:hAnsi="Calibri" w:cs="Times New Roman"/>
                <w:color w:val="000000"/>
              </w:rPr>
            </w:pPr>
            <w:r w:rsidRPr="00DC77B9">
              <w:rPr>
                <w:rFonts w:ascii="Calibri" w:eastAsia="Times New Roman" w:hAnsi="Calibri" w:cs="Times New Roman"/>
                <w:color w:val="000000"/>
              </w:rPr>
              <w:t>Did not meet 80% benchmark, but improved by at least 10%</w:t>
            </w:r>
          </w:p>
        </w:tc>
      </w:tr>
    </w:tbl>
    <w:p w:rsidR="00DC77B9" w:rsidRDefault="00DC77B9" w:rsidP="002F53BB"/>
    <w:p w:rsidR="00BB2932" w:rsidRPr="00BB2932" w:rsidRDefault="00BB2932" w:rsidP="00BB2932">
      <w:pPr>
        <w:pStyle w:val="Heading1"/>
      </w:pPr>
      <w:r w:rsidRPr="00BB2932">
        <w:t>Discussion</w:t>
      </w:r>
    </w:p>
    <w:p w:rsidR="00E22E5B" w:rsidRPr="00282962" w:rsidRDefault="00A66E01" w:rsidP="002F53BB">
      <w:pPr>
        <w:rPr>
          <w:b/>
        </w:rPr>
      </w:pPr>
      <w:r w:rsidRPr="00613DEA">
        <w:t>The CLOs that were the most problematic in this assessment were CLOs 2, 6, and 7</w:t>
      </w:r>
      <w:r w:rsidR="00B52AEC" w:rsidRPr="00613DEA">
        <w:t>. Most concerning were</w:t>
      </w:r>
      <w:r w:rsidR="002A14BB" w:rsidRPr="00613DEA">
        <w:t xml:space="preserve"> CLOs </w:t>
      </w:r>
      <w:r w:rsidR="00282962">
        <w:t>2</w:t>
      </w:r>
      <w:r w:rsidR="002A14BB" w:rsidRPr="00613DEA">
        <w:t xml:space="preserve"> and </w:t>
      </w:r>
      <w:r w:rsidR="00282962">
        <w:t>6</w:t>
      </w:r>
      <w:r w:rsidR="002A14BB" w:rsidRPr="00613DEA">
        <w:t xml:space="preserve">, </w:t>
      </w:r>
      <w:r w:rsidR="00B52AEC" w:rsidRPr="00613DEA">
        <w:t>in which students actually</w:t>
      </w:r>
      <w:r w:rsidR="002A14BB" w:rsidRPr="00613DEA">
        <w:t xml:space="preserve"> lost ground as a result of</w:t>
      </w:r>
      <w:r w:rsidR="00B52AEC" w:rsidRPr="00613DEA">
        <w:t xml:space="preserve"> having taken the LS 101 class</w:t>
      </w:r>
      <w:r w:rsidR="00B52AEC" w:rsidRPr="00282962">
        <w:rPr>
          <w:b/>
        </w:rPr>
        <w:t>. Mapping the CLOs to Bloom’s Revised Taxonomy</w:t>
      </w:r>
      <w:r w:rsidR="00DF59FD" w:rsidRPr="00282962">
        <w:rPr>
          <w:b/>
        </w:rPr>
        <w:t xml:space="preserve"> (2001)</w:t>
      </w:r>
      <w:r w:rsidR="0059165C" w:rsidRPr="00282962">
        <w:rPr>
          <w:rStyle w:val="FootnoteReference"/>
          <w:b/>
        </w:rPr>
        <w:footnoteReference w:id="1"/>
      </w:r>
      <w:r w:rsidR="00B52AEC" w:rsidRPr="00282962">
        <w:rPr>
          <w:b/>
        </w:rPr>
        <w:t xml:space="preserve"> shows that CLOs </w:t>
      </w:r>
      <w:r w:rsidR="00282962" w:rsidRPr="00282962">
        <w:rPr>
          <w:b/>
        </w:rPr>
        <w:t xml:space="preserve">2 and 6 </w:t>
      </w:r>
      <w:r w:rsidR="00B52AEC" w:rsidRPr="00282962">
        <w:rPr>
          <w:b/>
        </w:rPr>
        <w:t xml:space="preserve">were at the </w:t>
      </w:r>
      <w:r w:rsidR="00A772E1" w:rsidRPr="00282962">
        <w:rPr>
          <w:b/>
        </w:rPr>
        <w:t>creating level of Bloom’s taxonomy</w:t>
      </w:r>
      <w:r w:rsidR="00B52AEC" w:rsidRPr="00282962">
        <w:rPr>
          <w:b/>
        </w:rPr>
        <w:t>, which is inappropriate for a</w:t>
      </w:r>
      <w:r w:rsidR="007D1DD5" w:rsidRPr="00282962">
        <w:rPr>
          <w:b/>
        </w:rPr>
        <w:t>n</w:t>
      </w:r>
      <w:r w:rsidR="00B52AEC" w:rsidRPr="00282962">
        <w:rPr>
          <w:b/>
        </w:rPr>
        <w:t xml:space="preserve"> 100-level, introduction course.</w:t>
      </w:r>
      <w:r w:rsidR="00DF59FD" w:rsidRPr="00282962">
        <w:rPr>
          <w:b/>
        </w:rPr>
        <w:t xml:space="preserve"> </w:t>
      </w:r>
    </w:p>
    <w:p w:rsidR="002F53BB" w:rsidRDefault="002400CC" w:rsidP="00030AD3">
      <w:pPr>
        <w:jc w:val="center"/>
      </w:pPr>
      <w:bookmarkStart w:id="0" w:name="_GoBack"/>
      <w:r>
        <w:rPr>
          <w:noProof/>
        </w:rPr>
        <w:lastRenderedPageBreak/>
        <w:drawing>
          <wp:inline distT="0" distB="0" distL="0" distR="0" wp14:anchorId="38F838B5" wp14:editId="25A446E2">
            <wp:extent cx="3286125" cy="2252365"/>
            <wp:effectExtent l="76200" t="76200" r="123825"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ms_Revised_Taxonomy_with_old_CLOs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8729" cy="22610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B52AEC" w:rsidRDefault="00B52AEC" w:rsidP="00B52AEC">
      <w:r w:rsidRPr="00C81228">
        <w:rPr>
          <w:b/>
        </w:rPr>
        <w:t xml:space="preserve">On the other hand while at the understanding level of Bloom’s, CLO 7 also proved problematic for students. </w:t>
      </w:r>
      <w:r w:rsidR="00DF1336" w:rsidRPr="00C81228">
        <w:rPr>
          <w:b/>
        </w:rPr>
        <w:t>This gap in achievement ultimately had more to do with our approach to teaching this concept.</w:t>
      </w:r>
      <w:r w:rsidR="00DF1336">
        <w:t xml:space="preserve"> </w:t>
      </w:r>
      <w:r w:rsidR="000327A0">
        <w:t xml:space="preserve">The outcome previously read, </w:t>
      </w:r>
      <w:r w:rsidR="000327A0" w:rsidRPr="000327A0">
        <w:rPr>
          <w:i/>
        </w:rPr>
        <w:t>Identify and explain the differences between, major types of information resources (e.g., books, lay periodicals, scholarly journals, wikis, etc.)</w:t>
      </w:r>
      <w:r w:rsidR="000327A0">
        <w:t>, however other skills are essential in being able to succeed with this outcome such as an ability to determine how and when a type of source should be used.</w:t>
      </w:r>
    </w:p>
    <w:p w:rsidR="006104BB" w:rsidRPr="00C81228" w:rsidRDefault="006104BB" w:rsidP="00B52AEC">
      <w:pPr>
        <w:rPr>
          <w:b/>
        </w:rPr>
      </w:pPr>
      <w:r w:rsidRPr="00C81228">
        <w:rPr>
          <w:b/>
        </w:rPr>
        <w:t>It is also important to note that the results of this assessment project were consistent with national information literacy assessment projects.</w:t>
      </w:r>
      <w:r w:rsidRPr="00C81228">
        <w:rPr>
          <w:rStyle w:val="FootnoteReference"/>
          <w:b/>
        </w:rPr>
        <w:footnoteReference w:id="2"/>
      </w:r>
    </w:p>
    <w:p w:rsidR="00DD2F75" w:rsidRDefault="00DD2F75" w:rsidP="00DD2F75">
      <w:pPr>
        <w:pStyle w:val="Heading1"/>
      </w:pPr>
      <w:r>
        <w:t>Changes Implemented</w:t>
      </w:r>
    </w:p>
    <w:p w:rsidR="002F53BB" w:rsidRDefault="00940033" w:rsidP="002F53BB">
      <w:r w:rsidRPr="002A14BB">
        <w:rPr>
          <w:b/>
          <w:noProof/>
        </w:rPr>
        <mc:AlternateContent>
          <mc:Choice Requires="wps">
            <w:drawing>
              <wp:anchor distT="45720" distB="45720" distL="114300" distR="114300" simplePos="0" relativeHeight="251659264" behindDoc="0" locked="0" layoutInCell="1" allowOverlap="1" wp14:anchorId="2A9A820C" wp14:editId="047BC228">
                <wp:simplePos x="0" y="0"/>
                <wp:positionH relativeFrom="column">
                  <wp:posOffset>3793490</wp:posOffset>
                </wp:positionH>
                <wp:positionV relativeFrom="paragraph">
                  <wp:posOffset>46355</wp:posOffset>
                </wp:positionV>
                <wp:extent cx="2882900" cy="199517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9951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5886" w:rsidRPr="00AD5886" w:rsidRDefault="002225AC">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7309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[ACRL] </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Framework </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called a framework intentionally because it is based on a cluster of interconnected core concepts</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[i.e. threshold concepts]</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flexible options for implementation, rather than on a set of standards or learning outcomes, or any prescriptive enumeration of skills. At the heart of this Framework are conceptual understandings that organize many other concepts and ideas about information, research, and scholarship into a coherent whole.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A820C" id="_x0000_t202" coordsize="21600,21600" o:spt="202" path="m,l,21600r21600,l21600,xe">
                <v:stroke joinstyle="miter"/>
                <v:path gradientshapeok="t" o:connecttype="rect"/>
              </v:shapetype>
              <v:shape id="Text Box 2" o:spid="_x0000_s1026" type="#_x0000_t202" style="position:absolute;margin-left:298.7pt;margin-top:3.65pt;width:227pt;height:15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" fillcolor="white [3201]" strokecolor="#ed7d31 [3205]" strokeweight="1pt">
                <v:textbox>
                  <w:txbxContent>
                    <w:p w:rsidR="00AD5886" w:rsidRPr="00AD5886" w:rsidRDefault="002225AC">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7309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[ACRL] </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Framework </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called a framework intentionally because it is based on a cluster of interconnected core concepts</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[i.e. threshold concepts]</w:t>
                      </w:r>
                      <w:r w:rsidRPr="002225AC">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flexible options for implementation, rather than on a set of standards or learning outcomes, or any prescriptive enumeration of skills. At the heart of this Framework are conceptual understandings that organize many other concepts and ideas about information, research, and scholarship into a coherent whole.</w:t>
                      </w:r>
                    </w:p>
                  </w:txbxContent>
                </v:textbox>
                <w10:wrap type="square"/>
              </v:shape>
            </w:pict>
          </mc:Fallback>
        </mc:AlternateContent>
      </w:r>
      <w:r w:rsidR="00ED6263" w:rsidRPr="002A14BB">
        <w:rPr>
          <w:b/>
        </w:rPr>
        <w:t>The first step</w:t>
      </w:r>
      <w:r w:rsidR="00CB721E" w:rsidRPr="002A14BB">
        <w:rPr>
          <w:b/>
        </w:rPr>
        <w:t xml:space="preserve"> in responding to the data from this assessment was to revise</w:t>
      </w:r>
      <w:r w:rsidR="002F53BB" w:rsidRPr="002A14BB">
        <w:rPr>
          <w:b/>
        </w:rPr>
        <w:t xml:space="preserve"> </w:t>
      </w:r>
      <w:r w:rsidR="00ED6263" w:rsidRPr="002A14BB">
        <w:rPr>
          <w:b/>
        </w:rPr>
        <w:t>the</w:t>
      </w:r>
      <w:r w:rsidR="002F53BB" w:rsidRPr="002A14BB">
        <w:rPr>
          <w:b/>
        </w:rPr>
        <w:t xml:space="preserve"> CLO</w:t>
      </w:r>
      <w:r w:rsidR="00A76D91">
        <w:rPr>
          <w:b/>
        </w:rPr>
        <w:t>s</w:t>
      </w:r>
      <w:r w:rsidR="00CB721E" w:rsidRPr="002A14BB">
        <w:rPr>
          <w:b/>
        </w:rPr>
        <w:t>.</w:t>
      </w:r>
      <w:r w:rsidR="00CB721E" w:rsidRPr="0010493F">
        <w:t xml:space="preserve"> In making </w:t>
      </w:r>
      <w:r w:rsidR="0053118B" w:rsidRPr="0010493F">
        <w:t xml:space="preserve">these </w:t>
      </w:r>
      <w:r w:rsidR="00CB721E" w:rsidRPr="0010493F">
        <w:t xml:space="preserve">revisions, </w:t>
      </w:r>
      <w:r w:rsidR="009E1E3C" w:rsidRPr="0010493F">
        <w:t xml:space="preserve">we consulted </w:t>
      </w:r>
      <w:r w:rsidR="00CB721E" w:rsidRPr="0010493F">
        <w:t xml:space="preserve">Bloom’s Taxonomy and the </w:t>
      </w:r>
      <w:r w:rsidR="00504A18" w:rsidRPr="00504A18">
        <w:t>Association of College &amp; Research Libraries (ACRL)</w:t>
      </w:r>
      <w:r w:rsidR="00504A18">
        <w:t xml:space="preserve"> </w:t>
      </w:r>
      <w:r w:rsidR="00CB721E" w:rsidRPr="0010493F">
        <w:t>Fr</w:t>
      </w:r>
      <w:r w:rsidR="009E1E3C" w:rsidRPr="0010493F">
        <w:t>amework for Information</w:t>
      </w:r>
      <w:r w:rsidR="009E1E3C">
        <w:t xml:space="preserve"> Literac</w:t>
      </w:r>
      <w:r w:rsidR="002D438A">
        <w:t>y</w:t>
      </w:r>
      <w:r w:rsidR="0003513F">
        <w:t xml:space="preserve"> (2015</w:t>
      </w:r>
      <w:r w:rsidR="00F221E8">
        <w:t>)</w:t>
      </w:r>
      <w:r w:rsidR="0057309C">
        <w:rPr>
          <w:rStyle w:val="FootnoteReference"/>
        </w:rPr>
        <w:footnoteReference w:id="3"/>
      </w:r>
      <w:r w:rsidR="00F221E8">
        <w:t xml:space="preserve">. </w:t>
      </w:r>
      <w:r w:rsidR="00CB721E">
        <w:t>These CLOs went to Curriculum Commit</w:t>
      </w:r>
      <w:r w:rsidR="008E1229">
        <w:t xml:space="preserve">tee in November </w:t>
      </w:r>
      <w:r w:rsidR="00ED6263">
        <w:t xml:space="preserve">2015 </w:t>
      </w:r>
      <w:r w:rsidR="008E1229">
        <w:t>and were approv</w:t>
      </w:r>
      <w:r w:rsidR="004F28C2">
        <w:t>ed; they read as follows:</w:t>
      </w:r>
    </w:p>
    <w:p w:rsidR="0008159D" w:rsidRPr="00D446B7" w:rsidRDefault="0008159D" w:rsidP="0008159D">
      <w:pPr>
        <w:pStyle w:val="ListParagraph"/>
        <w:numPr>
          <w:ilvl w:val="0"/>
          <w:numId w:val="2"/>
        </w:numPr>
        <w:rPr>
          <w:rStyle w:val="SubtleEmphasis"/>
        </w:rPr>
      </w:pPr>
      <w:r w:rsidRPr="00D446B7">
        <w:rPr>
          <w:rStyle w:val="SubtleEmphasis"/>
        </w:rPr>
        <w:t>Follow a plan for finding information using a variety of electronic and print tools (PLO 1, 2, 3)</w:t>
      </w:r>
    </w:p>
    <w:p w:rsidR="0008159D" w:rsidRPr="00D446B7" w:rsidRDefault="0008159D" w:rsidP="0008159D">
      <w:pPr>
        <w:pStyle w:val="ListParagraph"/>
        <w:numPr>
          <w:ilvl w:val="0"/>
          <w:numId w:val="2"/>
        </w:numPr>
        <w:rPr>
          <w:rStyle w:val="SubtleEmphasis"/>
        </w:rPr>
      </w:pPr>
      <w:r w:rsidRPr="00D446B7">
        <w:rPr>
          <w:rStyle w:val="SubtleEmphasis"/>
        </w:rPr>
        <w:t>Employ strategic processes of inquiry to guide and refine information needs and search strategies. (PLO 2, 3, 5)</w:t>
      </w:r>
    </w:p>
    <w:p w:rsidR="0008159D" w:rsidRPr="00D446B7" w:rsidRDefault="0008159D" w:rsidP="0008159D">
      <w:pPr>
        <w:pStyle w:val="ListParagraph"/>
        <w:numPr>
          <w:ilvl w:val="0"/>
          <w:numId w:val="2"/>
        </w:numPr>
        <w:rPr>
          <w:rStyle w:val="SubtleEmphasis"/>
        </w:rPr>
      </w:pPr>
      <w:r w:rsidRPr="00D446B7">
        <w:rPr>
          <w:rStyle w:val="SubtleEmphasis"/>
        </w:rPr>
        <w:t>Demonstrate basic use of electronic search strategies. (PLO 2)</w:t>
      </w:r>
    </w:p>
    <w:p w:rsidR="0008159D" w:rsidRPr="00D446B7" w:rsidRDefault="0008159D" w:rsidP="0008159D">
      <w:pPr>
        <w:pStyle w:val="ListParagraph"/>
        <w:numPr>
          <w:ilvl w:val="0"/>
          <w:numId w:val="2"/>
        </w:numPr>
        <w:rPr>
          <w:rStyle w:val="SubtleEmphasis"/>
        </w:rPr>
      </w:pPr>
      <w:r w:rsidRPr="00D446B7">
        <w:rPr>
          <w:rStyle w:val="SubtleEmphasis"/>
        </w:rPr>
        <w:t>Describe the purpose of and collect the elements necessary for a citation in a standard style. (PLO 4)</w:t>
      </w:r>
    </w:p>
    <w:p w:rsidR="0008159D" w:rsidRPr="00D446B7" w:rsidRDefault="0008159D" w:rsidP="0008159D">
      <w:pPr>
        <w:pStyle w:val="ListParagraph"/>
        <w:numPr>
          <w:ilvl w:val="0"/>
          <w:numId w:val="2"/>
        </w:numPr>
        <w:rPr>
          <w:rStyle w:val="SubtleEmphasis"/>
        </w:rPr>
      </w:pPr>
      <w:r w:rsidRPr="00D446B7">
        <w:rPr>
          <w:rStyle w:val="SubtleEmphasis"/>
        </w:rPr>
        <w:t>Develop familiarity with sources of evidence, methods, and modes of discourse. (PLO 5)</w:t>
      </w:r>
    </w:p>
    <w:p w:rsidR="00030AD3" w:rsidRPr="00D446B7" w:rsidRDefault="0008159D" w:rsidP="0008159D">
      <w:pPr>
        <w:pStyle w:val="ListParagraph"/>
        <w:numPr>
          <w:ilvl w:val="0"/>
          <w:numId w:val="2"/>
        </w:numPr>
        <w:rPr>
          <w:rStyle w:val="SubtleEmphasis"/>
        </w:rPr>
      </w:pPr>
      <w:r w:rsidRPr="00D446B7">
        <w:rPr>
          <w:rStyle w:val="SubtleEmphasis"/>
        </w:rPr>
        <w:t>Identify and explain the differences between major types of information resources (e.g., books, lay periodicals, scholarly journals, wikis, etc.) and when and how to use them. (PLO 1, 2, 3)</w:t>
      </w:r>
      <w:r w:rsidR="00030AD3" w:rsidRPr="00D446B7">
        <w:rPr>
          <w:rStyle w:val="SubtleEmphasis"/>
        </w:rPr>
        <w:t xml:space="preserve"> </w:t>
      </w:r>
    </w:p>
    <w:p w:rsidR="00E94C65" w:rsidRDefault="00DB4CBE" w:rsidP="00030AD3">
      <w:r>
        <w:lastRenderedPageBreak/>
        <w:t>As illustrated in the figure below, t</w:t>
      </w:r>
      <w:r w:rsidR="00E94C65">
        <w:t>hese new CLOs each map to more appropriate levels of Bloom’s for an 100-level, introductory course.</w:t>
      </w:r>
    </w:p>
    <w:p w:rsidR="00E94C65" w:rsidRPr="0010493F" w:rsidRDefault="00E94C65" w:rsidP="000E5313">
      <w:pPr>
        <w:jc w:val="center"/>
      </w:pPr>
      <w:r w:rsidRPr="0010493F">
        <w:rPr>
          <w:noProof/>
        </w:rPr>
        <w:drawing>
          <wp:inline distT="0" distB="0" distL="0" distR="0" wp14:anchorId="3B99CC94" wp14:editId="164A2F25">
            <wp:extent cx="3356280" cy="2285802"/>
            <wp:effectExtent l="76200" t="76200" r="130175" b="133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oms_Revised_Taxonomy_with_new_CL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9731" cy="2329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30AD3" w:rsidRPr="0010493F" w:rsidRDefault="00C45ED7" w:rsidP="00030AD3">
      <w:r w:rsidRPr="002A14BB">
        <w:rPr>
          <w:b/>
        </w:rPr>
        <w:t>In addition, we are currently in the</w:t>
      </w:r>
      <w:r w:rsidR="00CB721E" w:rsidRPr="002A14BB">
        <w:rPr>
          <w:b/>
        </w:rPr>
        <w:t xml:space="preserve"> process of revising the </w:t>
      </w:r>
      <w:r w:rsidRPr="002A14BB">
        <w:rPr>
          <w:b/>
        </w:rPr>
        <w:t xml:space="preserve">LS 101 </w:t>
      </w:r>
      <w:r w:rsidR="00CB721E" w:rsidRPr="002A14BB">
        <w:rPr>
          <w:b/>
        </w:rPr>
        <w:t>curriculum</w:t>
      </w:r>
      <w:r w:rsidRPr="002A14BB">
        <w:rPr>
          <w:b/>
        </w:rPr>
        <w:t>,</w:t>
      </w:r>
      <w:r w:rsidR="00CB721E" w:rsidRPr="002A14BB">
        <w:rPr>
          <w:b/>
        </w:rPr>
        <w:t xml:space="preserve"> starting with the assignments and rubrics.</w:t>
      </w:r>
      <w:r w:rsidR="00CB721E" w:rsidRPr="0010493F">
        <w:t xml:space="preserve"> </w:t>
      </w:r>
      <w:r w:rsidRPr="0010493F">
        <w:t>As part of this process, we are</w:t>
      </w:r>
      <w:r w:rsidR="00CB721E" w:rsidRPr="0010493F">
        <w:t xml:space="preserve"> </w:t>
      </w:r>
      <w:r w:rsidRPr="0010493F">
        <w:t xml:space="preserve">uploading all of our CLOs to </w:t>
      </w:r>
      <w:r w:rsidR="00CB721E" w:rsidRPr="0010493F">
        <w:t>Canvas</w:t>
      </w:r>
      <w:r w:rsidR="002E1FFF" w:rsidRPr="0010493F">
        <w:t xml:space="preserve"> and tagging all assignments with the CLOs measured. </w:t>
      </w:r>
      <w:r w:rsidR="006E3E1E" w:rsidRPr="0010493F">
        <w:t>In the future, we will</w:t>
      </w:r>
      <w:r w:rsidR="002E1FFF" w:rsidRPr="0010493F">
        <w:t xml:space="preserve"> use the Learning Mastery tab in </w:t>
      </w:r>
      <w:r w:rsidR="006E3E1E" w:rsidRPr="0010493F">
        <w:t>Canvas</w:t>
      </w:r>
      <w:r w:rsidR="004B18C7" w:rsidRPr="0010493F">
        <w:t>’ Gradebook</w:t>
      </w:r>
      <w:r w:rsidR="006E3E1E" w:rsidRPr="0010493F">
        <w:t xml:space="preserve"> </w:t>
      </w:r>
      <w:r w:rsidR="002E1FFF" w:rsidRPr="0010493F">
        <w:t>to track achievement of the CLOs as opposed to having a separate pretest/posttest.</w:t>
      </w:r>
      <w:r w:rsidR="00CB721E" w:rsidRPr="0010493F">
        <w:t xml:space="preserve"> This will not only help to save time, but will ensure consistent assessment of the outcomes</w:t>
      </w:r>
      <w:r w:rsidR="002E1FFF" w:rsidRPr="0010493F">
        <w:t>,</w:t>
      </w:r>
      <w:r w:rsidR="00CB721E" w:rsidRPr="0010493F">
        <w:t xml:space="preserve"> </w:t>
      </w:r>
      <w:r w:rsidR="00DD6049" w:rsidRPr="0010493F">
        <w:t xml:space="preserve">allow instructors to make adjustments during the course if students are struggling with a particular CLO, </w:t>
      </w:r>
      <w:r w:rsidR="00CB721E" w:rsidRPr="0010493F">
        <w:t xml:space="preserve">and enable students to </w:t>
      </w:r>
      <w:r w:rsidR="00DD6049" w:rsidRPr="0010493F">
        <w:t xml:space="preserve">track </w:t>
      </w:r>
      <w:r w:rsidR="00CB721E" w:rsidRPr="0010493F">
        <w:t>how they are performing.</w:t>
      </w:r>
    </w:p>
    <w:p w:rsidR="002B6433" w:rsidRPr="00044261" w:rsidRDefault="00687E88" w:rsidP="00044261">
      <w:pPr>
        <w:rPr>
          <w:b/>
        </w:rPr>
      </w:pPr>
      <w:r w:rsidRPr="002A14BB">
        <w:rPr>
          <w:b/>
        </w:rPr>
        <w:t>Finally, as a result of this and other assessment projects, we will be revising our Program Learning Outcomes (PLOs).</w:t>
      </w:r>
    </w:p>
    <w:p w:rsidR="00C00CB0" w:rsidRPr="0010493F" w:rsidRDefault="00C00CB0" w:rsidP="0057309C">
      <w:pPr>
        <w:pBdr>
          <w:bottom w:val="single" w:sz="4" w:space="1" w:color="auto"/>
        </w:pBdr>
      </w:pPr>
    </w:p>
    <w:p w:rsidR="00C5728B" w:rsidRPr="002B6433" w:rsidRDefault="00C5728B" w:rsidP="002B6433">
      <w:pPr>
        <w:jc w:val="center"/>
        <w:rPr>
          <w:sz w:val="18"/>
          <w:szCs w:val="18"/>
        </w:rPr>
      </w:pPr>
      <w:r w:rsidRPr="002B6433">
        <w:rPr>
          <w:sz w:val="18"/>
          <w:szCs w:val="18"/>
        </w:rPr>
        <w:t>Bibliography</w:t>
      </w:r>
    </w:p>
    <w:p w:rsidR="009D5005" w:rsidRDefault="009D5005" w:rsidP="002B6433">
      <w:pPr>
        <w:spacing w:line="360" w:lineRule="auto"/>
        <w:ind w:left="720" w:hanging="720"/>
        <w:rPr>
          <w:sz w:val="18"/>
          <w:szCs w:val="18"/>
        </w:rPr>
      </w:pPr>
      <w:r w:rsidRPr="009D5005">
        <w:rPr>
          <w:sz w:val="18"/>
          <w:szCs w:val="18"/>
        </w:rPr>
        <w:t xml:space="preserve">Armstrong, </w:t>
      </w:r>
      <w:r>
        <w:rPr>
          <w:sz w:val="18"/>
          <w:szCs w:val="18"/>
        </w:rPr>
        <w:t xml:space="preserve">Patricia. </w:t>
      </w:r>
      <w:r w:rsidRPr="009D5005">
        <w:rPr>
          <w:sz w:val="18"/>
          <w:szCs w:val="18"/>
        </w:rPr>
        <w:t>“Bloom’s Taxonomy</w:t>
      </w:r>
      <w:r>
        <w:rPr>
          <w:sz w:val="18"/>
          <w:szCs w:val="18"/>
        </w:rPr>
        <w:t>.</w:t>
      </w:r>
      <w:r w:rsidRPr="009D5005">
        <w:rPr>
          <w:sz w:val="18"/>
          <w:szCs w:val="18"/>
        </w:rPr>
        <w:t>” Vanderbilt University Cen</w:t>
      </w:r>
      <w:r>
        <w:rPr>
          <w:sz w:val="18"/>
          <w:szCs w:val="18"/>
        </w:rPr>
        <w:t>ter for Teaching and Learning.</w:t>
      </w:r>
      <w:r w:rsidRPr="009D5005">
        <w:rPr>
          <w:sz w:val="18"/>
          <w:szCs w:val="18"/>
        </w:rPr>
        <w:t xml:space="preserve"> </w:t>
      </w:r>
      <w:hyperlink r:id="rId10" w:history="1">
        <w:r w:rsidRPr="00C33355">
          <w:rPr>
            <w:rStyle w:val="Hyperlink"/>
            <w:rFonts w:cstheme="minorBidi"/>
            <w:sz w:val="18"/>
            <w:szCs w:val="18"/>
          </w:rPr>
          <w:t>https://cft.vanderbilt.edu/guides-sub-pages/blooms-taxonomy/</w:t>
        </w:r>
      </w:hyperlink>
      <w:r>
        <w:rPr>
          <w:sz w:val="18"/>
          <w:szCs w:val="18"/>
        </w:rPr>
        <w:t>.</w:t>
      </w:r>
    </w:p>
    <w:p w:rsidR="00C5728B" w:rsidRPr="002B6433" w:rsidRDefault="00C5728B" w:rsidP="002B6433">
      <w:pPr>
        <w:spacing w:line="360" w:lineRule="auto"/>
        <w:ind w:left="720" w:hanging="720"/>
        <w:rPr>
          <w:sz w:val="18"/>
          <w:szCs w:val="18"/>
        </w:rPr>
      </w:pPr>
      <w:r w:rsidRPr="002B6433">
        <w:rPr>
          <w:sz w:val="18"/>
          <w:szCs w:val="18"/>
        </w:rPr>
        <w:t xml:space="preserve">Association of College and Research Libraries Board. “Framework for Information Literacy for Higher Education.” Association of College and Research Libraries. </w:t>
      </w:r>
      <w:hyperlink r:id="rId11" w:history="1">
        <w:r w:rsidRPr="002B6433">
          <w:rPr>
            <w:rStyle w:val="Hyperlink"/>
            <w:sz w:val="18"/>
            <w:szCs w:val="18"/>
          </w:rPr>
          <w:t>http://www.ala.org/acrl/standards/ilframework</w:t>
        </w:r>
      </w:hyperlink>
      <w:r w:rsidRPr="002B6433">
        <w:rPr>
          <w:sz w:val="18"/>
          <w:szCs w:val="18"/>
        </w:rPr>
        <w:t>.</w:t>
      </w:r>
    </w:p>
    <w:p w:rsidR="00C5728B" w:rsidRPr="002B6433" w:rsidRDefault="00C5728B" w:rsidP="002B6433">
      <w:pPr>
        <w:spacing w:line="360" w:lineRule="auto"/>
        <w:ind w:left="720" w:hanging="720"/>
        <w:rPr>
          <w:sz w:val="18"/>
          <w:szCs w:val="18"/>
        </w:rPr>
      </w:pPr>
      <w:r w:rsidRPr="002B6433">
        <w:rPr>
          <w:sz w:val="18"/>
          <w:szCs w:val="18"/>
        </w:rPr>
        <w:t xml:space="preserve">Bickerstaff, Susan, Melissa Barragan, and </w:t>
      </w:r>
      <w:proofErr w:type="spellStart"/>
      <w:r w:rsidRPr="002B6433">
        <w:rPr>
          <w:sz w:val="18"/>
          <w:szCs w:val="18"/>
        </w:rPr>
        <w:t>Zawadi</w:t>
      </w:r>
      <w:proofErr w:type="spellEnd"/>
      <w:r w:rsidRPr="002B6433">
        <w:rPr>
          <w:sz w:val="18"/>
          <w:szCs w:val="18"/>
        </w:rPr>
        <w:t xml:space="preserve"> Rucks-</w:t>
      </w:r>
      <w:proofErr w:type="spellStart"/>
      <w:r w:rsidRPr="002B6433">
        <w:rPr>
          <w:sz w:val="18"/>
          <w:szCs w:val="18"/>
        </w:rPr>
        <w:t>Ahidiana</w:t>
      </w:r>
      <w:proofErr w:type="spellEnd"/>
      <w:r w:rsidRPr="002B6433">
        <w:rPr>
          <w:sz w:val="18"/>
          <w:szCs w:val="18"/>
        </w:rPr>
        <w:t>. “I Came Unsure of Everything: Community College Students’ Shift in Confidence.” CCRC Working Paper No. 48, September 2012.</w:t>
      </w:r>
    </w:p>
    <w:p w:rsidR="00C5728B" w:rsidRPr="002B6433" w:rsidRDefault="00C5728B" w:rsidP="002B6433">
      <w:pPr>
        <w:spacing w:line="360" w:lineRule="auto"/>
        <w:ind w:left="720" w:hanging="720"/>
        <w:rPr>
          <w:sz w:val="18"/>
          <w:szCs w:val="18"/>
        </w:rPr>
      </w:pPr>
      <w:proofErr w:type="spellStart"/>
      <w:r w:rsidRPr="002B6433">
        <w:rPr>
          <w:sz w:val="18"/>
          <w:szCs w:val="18"/>
        </w:rPr>
        <w:t>Bizup</w:t>
      </w:r>
      <w:proofErr w:type="spellEnd"/>
      <w:r w:rsidRPr="002B6433">
        <w:rPr>
          <w:sz w:val="18"/>
          <w:szCs w:val="18"/>
        </w:rPr>
        <w:t xml:space="preserve">, Joseph. "BEAM: A rhetorical vocabulary for teaching research-based writing." </w:t>
      </w:r>
      <w:r w:rsidRPr="002B6433">
        <w:rPr>
          <w:i/>
          <w:iCs/>
          <w:sz w:val="18"/>
          <w:szCs w:val="18"/>
        </w:rPr>
        <w:t>Rhetoric Review</w:t>
      </w:r>
      <w:r w:rsidRPr="002B6433">
        <w:rPr>
          <w:sz w:val="18"/>
          <w:szCs w:val="18"/>
        </w:rPr>
        <w:t xml:space="preserve"> 27.1 (2008): 72-86.</w:t>
      </w:r>
    </w:p>
    <w:p w:rsidR="00C5728B" w:rsidRPr="002B6433" w:rsidRDefault="00C5728B" w:rsidP="002B6433">
      <w:pPr>
        <w:spacing w:line="360" w:lineRule="auto"/>
        <w:ind w:left="720" w:hanging="720"/>
        <w:rPr>
          <w:sz w:val="18"/>
          <w:szCs w:val="18"/>
        </w:rPr>
      </w:pPr>
      <w:proofErr w:type="spellStart"/>
      <w:r w:rsidRPr="002B6433">
        <w:rPr>
          <w:sz w:val="18"/>
          <w:szCs w:val="18"/>
        </w:rPr>
        <w:t>Deitering</w:t>
      </w:r>
      <w:proofErr w:type="spellEnd"/>
      <w:r w:rsidRPr="002B6433">
        <w:rPr>
          <w:sz w:val="18"/>
          <w:szCs w:val="18"/>
        </w:rPr>
        <w:t xml:space="preserve">, Anne-Marie, Meredith </w:t>
      </w:r>
      <w:proofErr w:type="spellStart"/>
      <w:r w:rsidRPr="002B6433">
        <w:rPr>
          <w:sz w:val="18"/>
          <w:szCs w:val="18"/>
        </w:rPr>
        <w:t>Farkas</w:t>
      </w:r>
      <w:proofErr w:type="spellEnd"/>
      <w:r w:rsidRPr="002B6433">
        <w:rPr>
          <w:sz w:val="18"/>
          <w:szCs w:val="18"/>
        </w:rPr>
        <w:t xml:space="preserve">, and Sara </w:t>
      </w:r>
      <w:proofErr w:type="spellStart"/>
      <w:r w:rsidRPr="002B6433">
        <w:rPr>
          <w:sz w:val="18"/>
          <w:szCs w:val="18"/>
        </w:rPr>
        <w:t>Seely</w:t>
      </w:r>
      <w:proofErr w:type="spellEnd"/>
      <w:r w:rsidRPr="002B6433">
        <w:rPr>
          <w:sz w:val="18"/>
          <w:szCs w:val="18"/>
        </w:rPr>
        <w:t>. “</w:t>
      </w:r>
      <w:r w:rsidRPr="002B6433">
        <w:rPr>
          <w:bCs/>
          <w:sz w:val="18"/>
          <w:szCs w:val="18"/>
        </w:rPr>
        <w:t>Good for What? Teaching Sources for Sustainable Lifelong Information Literacy.</w:t>
      </w:r>
      <w:r w:rsidRPr="002B6433">
        <w:rPr>
          <w:sz w:val="18"/>
          <w:szCs w:val="18"/>
        </w:rPr>
        <w:t>” PowerPoint presentation at the Association of College and Research Libraries Conference, Portland, Oregon, March 26, 2015.</w:t>
      </w:r>
    </w:p>
    <w:p w:rsidR="00C5728B" w:rsidRPr="002B6433" w:rsidRDefault="00C5728B" w:rsidP="002B6433">
      <w:pPr>
        <w:spacing w:line="360" w:lineRule="auto"/>
        <w:ind w:left="720" w:hanging="720"/>
        <w:rPr>
          <w:sz w:val="18"/>
          <w:szCs w:val="18"/>
        </w:rPr>
      </w:pPr>
      <w:r w:rsidRPr="002B6433">
        <w:rPr>
          <w:sz w:val="18"/>
          <w:szCs w:val="18"/>
        </w:rPr>
        <w:t>Gilchrist, Debra. “Leading with Strategy and Evidence.” PowerPoint presentation at the Library Assessment Conference, University of Washington, Seattle, Washington, August 4, 2014.</w:t>
      </w:r>
    </w:p>
    <w:p w:rsidR="008B1DBA" w:rsidRPr="00044261" w:rsidRDefault="00C5728B" w:rsidP="00044261">
      <w:pPr>
        <w:spacing w:line="360" w:lineRule="auto"/>
        <w:ind w:left="720" w:hanging="720"/>
        <w:rPr>
          <w:sz w:val="18"/>
          <w:szCs w:val="18"/>
        </w:rPr>
      </w:pPr>
      <w:r w:rsidRPr="002B6433">
        <w:rPr>
          <w:sz w:val="18"/>
          <w:szCs w:val="18"/>
        </w:rPr>
        <w:t xml:space="preserve">Radcliff, Carolyn, Megan </w:t>
      </w:r>
      <w:proofErr w:type="spellStart"/>
      <w:r w:rsidRPr="002B6433">
        <w:rPr>
          <w:sz w:val="18"/>
          <w:szCs w:val="18"/>
        </w:rPr>
        <w:t>Oakleaf</w:t>
      </w:r>
      <w:proofErr w:type="spellEnd"/>
      <w:r w:rsidRPr="002B6433">
        <w:rPr>
          <w:sz w:val="18"/>
          <w:szCs w:val="18"/>
        </w:rPr>
        <w:t>, and Michele Van Hoek. “So What? The Results and Impact of a Decade of IMLS-Funded Information Literacy Assessments.” PowerPoint presentation at the Library Assessment Conference, University of Washington, Seattle, Washington, August 6, 2014.</w:t>
      </w:r>
      <w:r w:rsidR="005F79DB">
        <w:tab/>
      </w:r>
    </w:p>
    <w:sectPr w:rsidR="008B1DBA" w:rsidRPr="00044261" w:rsidSect="000356A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DB" w:rsidRDefault="005F79DB" w:rsidP="005F79DB">
      <w:pPr>
        <w:spacing w:after="0" w:line="240" w:lineRule="auto"/>
      </w:pPr>
      <w:r>
        <w:separator/>
      </w:r>
    </w:p>
  </w:endnote>
  <w:endnote w:type="continuationSeparator" w:id="0">
    <w:p w:rsidR="005F79DB" w:rsidRDefault="005F79DB" w:rsidP="005F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712672"/>
      <w:docPartObj>
        <w:docPartGallery w:val="Page Numbers (Bottom of Page)"/>
        <w:docPartUnique/>
      </w:docPartObj>
    </w:sdtPr>
    <w:sdtEndPr>
      <w:rPr>
        <w:noProof/>
      </w:rPr>
    </w:sdtEndPr>
    <w:sdtContent>
      <w:p w:rsidR="005F79DB" w:rsidRDefault="005F79DB">
        <w:pPr>
          <w:pStyle w:val="Footer"/>
          <w:jc w:val="right"/>
        </w:pPr>
        <w:r>
          <w:fldChar w:fldCharType="begin"/>
        </w:r>
        <w:r>
          <w:instrText xml:space="preserve"> PAGE   \* MERGEFORMAT </w:instrText>
        </w:r>
        <w:r>
          <w:fldChar w:fldCharType="separate"/>
        </w:r>
        <w:r w:rsidR="00BE709F">
          <w:rPr>
            <w:noProof/>
          </w:rPr>
          <w:t>3</w:t>
        </w:r>
        <w:r>
          <w:rPr>
            <w:noProof/>
          </w:rPr>
          <w:fldChar w:fldCharType="end"/>
        </w:r>
      </w:p>
    </w:sdtContent>
  </w:sdt>
  <w:p w:rsidR="005F79DB" w:rsidRDefault="005F7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DB" w:rsidRDefault="005F79DB" w:rsidP="005F79DB">
      <w:pPr>
        <w:spacing w:after="0" w:line="240" w:lineRule="auto"/>
      </w:pPr>
      <w:r>
        <w:separator/>
      </w:r>
    </w:p>
  </w:footnote>
  <w:footnote w:type="continuationSeparator" w:id="0">
    <w:p w:rsidR="005F79DB" w:rsidRDefault="005F79DB" w:rsidP="005F79DB">
      <w:pPr>
        <w:spacing w:after="0" w:line="240" w:lineRule="auto"/>
      </w:pPr>
      <w:r>
        <w:continuationSeparator/>
      </w:r>
    </w:p>
  </w:footnote>
  <w:footnote w:id="1">
    <w:p w:rsidR="0059165C" w:rsidRDefault="0059165C">
      <w:pPr>
        <w:pStyle w:val="FootnoteText"/>
      </w:pPr>
      <w:r>
        <w:rPr>
          <w:rStyle w:val="FootnoteReference"/>
        </w:rPr>
        <w:footnoteRef/>
      </w:r>
      <w:r>
        <w:t xml:space="preserve"> </w:t>
      </w:r>
      <w:r w:rsidR="00FB552C">
        <w:t xml:space="preserve"> </w:t>
      </w:r>
      <w:r w:rsidR="00FB552C" w:rsidRPr="006104BB">
        <w:rPr>
          <w:sz w:val="18"/>
          <w:szCs w:val="18"/>
        </w:rPr>
        <w:t xml:space="preserve">Patricia Armstrong, “Bloom’s Taxonomy,” Vanderbilt University Center for Teaching and Learning,   </w:t>
      </w:r>
      <w:hyperlink r:id="rId1" w:history="1">
        <w:r w:rsidR="00FB552C" w:rsidRPr="006104BB">
          <w:rPr>
            <w:rStyle w:val="Hyperlink"/>
            <w:rFonts w:cstheme="minorBidi"/>
            <w:sz w:val="18"/>
            <w:szCs w:val="18"/>
          </w:rPr>
          <w:t>https://cft.vanderbilt.edu/guides-sub-pages/blooms-taxonomy/</w:t>
        </w:r>
      </w:hyperlink>
      <w:r w:rsidR="00FB552C" w:rsidRPr="006104BB">
        <w:rPr>
          <w:sz w:val="18"/>
          <w:szCs w:val="18"/>
        </w:rPr>
        <w:t xml:space="preserve"> (accessed November 19, 2015).</w:t>
      </w:r>
    </w:p>
  </w:footnote>
  <w:footnote w:id="2">
    <w:p w:rsidR="006104BB" w:rsidRDefault="006104BB">
      <w:pPr>
        <w:pStyle w:val="FootnoteText"/>
      </w:pPr>
      <w:r>
        <w:rPr>
          <w:rStyle w:val="FootnoteReference"/>
        </w:rPr>
        <w:footnoteRef/>
      </w:r>
      <w:r>
        <w:t xml:space="preserve"> </w:t>
      </w:r>
      <w:r w:rsidRPr="006104BB">
        <w:rPr>
          <w:sz w:val="18"/>
          <w:szCs w:val="18"/>
        </w:rPr>
        <w:t>Carolyn</w:t>
      </w:r>
      <w:r w:rsidR="0040304B">
        <w:rPr>
          <w:sz w:val="18"/>
          <w:szCs w:val="18"/>
        </w:rPr>
        <w:t xml:space="preserve"> Radcliff</w:t>
      </w:r>
      <w:r w:rsidRPr="006104BB">
        <w:rPr>
          <w:sz w:val="18"/>
          <w:szCs w:val="18"/>
        </w:rPr>
        <w:t xml:space="preserve">, Megan </w:t>
      </w:r>
      <w:proofErr w:type="spellStart"/>
      <w:r w:rsidRPr="006104BB">
        <w:rPr>
          <w:sz w:val="18"/>
          <w:szCs w:val="18"/>
        </w:rPr>
        <w:t>Oakleaf</w:t>
      </w:r>
      <w:proofErr w:type="spellEnd"/>
      <w:r w:rsidRPr="006104BB">
        <w:rPr>
          <w:sz w:val="18"/>
          <w:szCs w:val="18"/>
        </w:rPr>
        <w:t>, and Michele Van Hoek</w:t>
      </w:r>
      <w:r w:rsidR="0040304B">
        <w:rPr>
          <w:sz w:val="18"/>
          <w:szCs w:val="18"/>
        </w:rPr>
        <w:t xml:space="preserve">, </w:t>
      </w:r>
      <w:r w:rsidRPr="006104BB">
        <w:rPr>
          <w:sz w:val="18"/>
          <w:szCs w:val="18"/>
        </w:rPr>
        <w:t>“So What? The Results and Impact of a Decade of IMLS-Funded Information Literacy Assessments</w:t>
      </w:r>
      <w:r w:rsidR="0040304B">
        <w:rPr>
          <w:sz w:val="18"/>
          <w:szCs w:val="18"/>
        </w:rPr>
        <w:t>,</w:t>
      </w:r>
      <w:r w:rsidRPr="006104BB">
        <w:rPr>
          <w:sz w:val="18"/>
          <w:szCs w:val="18"/>
        </w:rPr>
        <w:t>” PowerPoint presentation at the Library Assessment Conference, University of Washington, Seattle, Washington, August 6, 2014.</w:t>
      </w:r>
    </w:p>
  </w:footnote>
  <w:footnote w:id="3">
    <w:p w:rsidR="0057309C" w:rsidRPr="002B6433" w:rsidRDefault="0057309C" w:rsidP="00102F03">
      <w:pPr>
        <w:spacing w:line="240" w:lineRule="auto"/>
        <w:rPr>
          <w:sz w:val="18"/>
          <w:szCs w:val="18"/>
        </w:rPr>
      </w:pPr>
      <w:r>
        <w:rPr>
          <w:rStyle w:val="FootnoteReference"/>
        </w:rPr>
        <w:footnoteRef/>
      </w:r>
      <w:r>
        <w:t xml:space="preserve"> </w:t>
      </w:r>
      <w:r w:rsidRPr="002B6433">
        <w:rPr>
          <w:sz w:val="18"/>
          <w:szCs w:val="18"/>
        </w:rPr>
        <w:t>Association of College and Research Libraries Board</w:t>
      </w:r>
      <w:r w:rsidR="003041F8">
        <w:rPr>
          <w:sz w:val="18"/>
          <w:szCs w:val="18"/>
        </w:rPr>
        <w:t>,</w:t>
      </w:r>
      <w:r w:rsidRPr="002B6433">
        <w:rPr>
          <w:sz w:val="18"/>
          <w:szCs w:val="18"/>
        </w:rPr>
        <w:t xml:space="preserve"> “Framework for Information Literacy for Higher Education</w:t>
      </w:r>
      <w:r w:rsidR="003041F8">
        <w:rPr>
          <w:sz w:val="18"/>
          <w:szCs w:val="18"/>
        </w:rPr>
        <w:t>,</w:t>
      </w:r>
      <w:r w:rsidR="00102F03">
        <w:rPr>
          <w:sz w:val="18"/>
          <w:szCs w:val="18"/>
        </w:rPr>
        <w:t xml:space="preserve">” Association of College and </w:t>
      </w:r>
      <w:r w:rsidRPr="002B6433">
        <w:rPr>
          <w:sz w:val="18"/>
          <w:szCs w:val="18"/>
        </w:rPr>
        <w:t>Research Libraries</w:t>
      </w:r>
      <w:r w:rsidR="003041F8">
        <w:rPr>
          <w:sz w:val="18"/>
          <w:szCs w:val="18"/>
        </w:rPr>
        <w:t>,</w:t>
      </w:r>
      <w:r w:rsidRPr="002B6433">
        <w:rPr>
          <w:sz w:val="18"/>
          <w:szCs w:val="18"/>
        </w:rPr>
        <w:t xml:space="preserve"> </w:t>
      </w:r>
      <w:hyperlink r:id="rId2" w:history="1">
        <w:r w:rsidRPr="002B6433">
          <w:rPr>
            <w:rStyle w:val="Hyperlink"/>
            <w:sz w:val="18"/>
            <w:szCs w:val="18"/>
          </w:rPr>
          <w:t>http://www.ala.org/acrl/standards/ilframework</w:t>
        </w:r>
      </w:hyperlink>
      <w:r w:rsidR="003041F8">
        <w:rPr>
          <w:sz w:val="18"/>
          <w:szCs w:val="18"/>
        </w:rPr>
        <w:t xml:space="preserve"> (accessed November 19, 2015). See text box on this page.</w:t>
      </w:r>
    </w:p>
    <w:p w:rsidR="0057309C" w:rsidRDefault="005730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0301"/>
    <w:multiLevelType w:val="hybridMultilevel"/>
    <w:tmpl w:val="DD62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60C3D"/>
    <w:multiLevelType w:val="hybridMultilevel"/>
    <w:tmpl w:val="498CF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BB"/>
    <w:rsid w:val="00030AD3"/>
    <w:rsid w:val="000327A0"/>
    <w:rsid w:val="000328D9"/>
    <w:rsid w:val="0003513F"/>
    <w:rsid w:val="000356A8"/>
    <w:rsid w:val="00044261"/>
    <w:rsid w:val="000603F5"/>
    <w:rsid w:val="0008159D"/>
    <w:rsid w:val="000E5313"/>
    <w:rsid w:val="00102F03"/>
    <w:rsid w:val="0010493F"/>
    <w:rsid w:val="001144EA"/>
    <w:rsid w:val="00124AAD"/>
    <w:rsid w:val="00126B19"/>
    <w:rsid w:val="0012785A"/>
    <w:rsid w:val="00167E2C"/>
    <w:rsid w:val="001B5B42"/>
    <w:rsid w:val="001C10ED"/>
    <w:rsid w:val="001C1733"/>
    <w:rsid w:val="002225AC"/>
    <w:rsid w:val="002400CC"/>
    <w:rsid w:val="00257F09"/>
    <w:rsid w:val="00282962"/>
    <w:rsid w:val="002901EC"/>
    <w:rsid w:val="00291A5B"/>
    <w:rsid w:val="002A14BB"/>
    <w:rsid w:val="002B1F4E"/>
    <w:rsid w:val="002B6433"/>
    <w:rsid w:val="002D248A"/>
    <w:rsid w:val="002D438A"/>
    <w:rsid w:val="002E1FFF"/>
    <w:rsid w:val="002E5095"/>
    <w:rsid w:val="002E5CE4"/>
    <w:rsid w:val="002F53BB"/>
    <w:rsid w:val="002F7023"/>
    <w:rsid w:val="00301C0C"/>
    <w:rsid w:val="003041F8"/>
    <w:rsid w:val="0032473A"/>
    <w:rsid w:val="00343BD1"/>
    <w:rsid w:val="003507EC"/>
    <w:rsid w:val="003548F4"/>
    <w:rsid w:val="003A1313"/>
    <w:rsid w:val="003C413F"/>
    <w:rsid w:val="003D79EF"/>
    <w:rsid w:val="0040304B"/>
    <w:rsid w:val="00470D71"/>
    <w:rsid w:val="00487B0E"/>
    <w:rsid w:val="004B18C7"/>
    <w:rsid w:val="004C057C"/>
    <w:rsid w:val="004E2F4B"/>
    <w:rsid w:val="004E6F40"/>
    <w:rsid w:val="004F28C2"/>
    <w:rsid w:val="004F34CD"/>
    <w:rsid w:val="004F3E28"/>
    <w:rsid w:val="00500F05"/>
    <w:rsid w:val="00504A18"/>
    <w:rsid w:val="005172D8"/>
    <w:rsid w:val="00526FA3"/>
    <w:rsid w:val="0053118B"/>
    <w:rsid w:val="0057309C"/>
    <w:rsid w:val="0059165C"/>
    <w:rsid w:val="005E3388"/>
    <w:rsid w:val="005F79DB"/>
    <w:rsid w:val="00603884"/>
    <w:rsid w:val="006104BB"/>
    <w:rsid w:val="00611775"/>
    <w:rsid w:val="00613DEA"/>
    <w:rsid w:val="00653886"/>
    <w:rsid w:val="00667F1D"/>
    <w:rsid w:val="00676FE6"/>
    <w:rsid w:val="00687E88"/>
    <w:rsid w:val="006C0BCB"/>
    <w:rsid w:val="006C6CB3"/>
    <w:rsid w:val="006E12F0"/>
    <w:rsid w:val="006E3E1E"/>
    <w:rsid w:val="0074005E"/>
    <w:rsid w:val="0075473B"/>
    <w:rsid w:val="007B254F"/>
    <w:rsid w:val="007D056C"/>
    <w:rsid w:val="007D1DD5"/>
    <w:rsid w:val="00826D10"/>
    <w:rsid w:val="00840722"/>
    <w:rsid w:val="008425C3"/>
    <w:rsid w:val="008519C5"/>
    <w:rsid w:val="008B1DBA"/>
    <w:rsid w:val="008B66F3"/>
    <w:rsid w:val="008E1229"/>
    <w:rsid w:val="008E49CA"/>
    <w:rsid w:val="00915546"/>
    <w:rsid w:val="0092228F"/>
    <w:rsid w:val="00940033"/>
    <w:rsid w:val="0098558F"/>
    <w:rsid w:val="009A1615"/>
    <w:rsid w:val="009A66C9"/>
    <w:rsid w:val="009B1652"/>
    <w:rsid w:val="009D5005"/>
    <w:rsid w:val="009E1E3C"/>
    <w:rsid w:val="00A16AFE"/>
    <w:rsid w:val="00A66E01"/>
    <w:rsid w:val="00A7327D"/>
    <w:rsid w:val="00A76D91"/>
    <w:rsid w:val="00A772E1"/>
    <w:rsid w:val="00AD5886"/>
    <w:rsid w:val="00B05560"/>
    <w:rsid w:val="00B26FBE"/>
    <w:rsid w:val="00B41156"/>
    <w:rsid w:val="00B476C4"/>
    <w:rsid w:val="00B52AEC"/>
    <w:rsid w:val="00B80068"/>
    <w:rsid w:val="00B86366"/>
    <w:rsid w:val="00BB2932"/>
    <w:rsid w:val="00BC4E52"/>
    <w:rsid w:val="00BE5809"/>
    <w:rsid w:val="00BE709F"/>
    <w:rsid w:val="00C00CB0"/>
    <w:rsid w:val="00C45ED7"/>
    <w:rsid w:val="00C5728B"/>
    <w:rsid w:val="00C81228"/>
    <w:rsid w:val="00C81CF8"/>
    <w:rsid w:val="00CB721E"/>
    <w:rsid w:val="00CD53FB"/>
    <w:rsid w:val="00CF4425"/>
    <w:rsid w:val="00D05BB4"/>
    <w:rsid w:val="00D10F02"/>
    <w:rsid w:val="00D22358"/>
    <w:rsid w:val="00D446B7"/>
    <w:rsid w:val="00D95D9B"/>
    <w:rsid w:val="00DB4CBE"/>
    <w:rsid w:val="00DC77B9"/>
    <w:rsid w:val="00DD2F75"/>
    <w:rsid w:val="00DD6049"/>
    <w:rsid w:val="00DE5E17"/>
    <w:rsid w:val="00DE751B"/>
    <w:rsid w:val="00DF1336"/>
    <w:rsid w:val="00DF59FD"/>
    <w:rsid w:val="00E01811"/>
    <w:rsid w:val="00E22E5B"/>
    <w:rsid w:val="00E26D59"/>
    <w:rsid w:val="00E33982"/>
    <w:rsid w:val="00E638D9"/>
    <w:rsid w:val="00E73D5C"/>
    <w:rsid w:val="00E8697A"/>
    <w:rsid w:val="00E94C65"/>
    <w:rsid w:val="00ED6263"/>
    <w:rsid w:val="00EE2E0E"/>
    <w:rsid w:val="00F07299"/>
    <w:rsid w:val="00F1369D"/>
    <w:rsid w:val="00F221E8"/>
    <w:rsid w:val="00F72DC3"/>
    <w:rsid w:val="00FB552C"/>
    <w:rsid w:val="00FC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925F-78F7-4F9F-9FC4-3B4B15B7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BB"/>
  </w:style>
  <w:style w:type="paragraph" w:styleId="Heading1">
    <w:name w:val="heading 1"/>
    <w:basedOn w:val="Normal"/>
    <w:next w:val="Normal"/>
    <w:link w:val="Heading1Char"/>
    <w:uiPriority w:val="9"/>
    <w:qFormat/>
    <w:rsid w:val="00CD5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2F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FB"/>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D53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53FB"/>
    <w:rPr>
      <w:i/>
      <w:iCs/>
      <w:color w:val="5B9BD5" w:themeColor="accent1"/>
    </w:rPr>
  </w:style>
  <w:style w:type="paragraph" w:styleId="Title">
    <w:name w:val="Title"/>
    <w:basedOn w:val="Normal"/>
    <w:next w:val="Normal"/>
    <w:link w:val="TitleChar"/>
    <w:uiPriority w:val="10"/>
    <w:qFormat/>
    <w:rsid w:val="00CD5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3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F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B26FB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rsid w:val="00C5728B"/>
    <w:rPr>
      <w:rFonts w:cs="Times New Roman"/>
      <w:color w:val="0000FF"/>
      <w:u w:val="single"/>
    </w:rPr>
  </w:style>
  <w:style w:type="character" w:styleId="SubtleEmphasis">
    <w:name w:val="Subtle Emphasis"/>
    <w:basedOn w:val="DefaultParagraphFont"/>
    <w:uiPriority w:val="19"/>
    <w:qFormat/>
    <w:rsid w:val="00D446B7"/>
    <w:rPr>
      <w:i/>
      <w:iCs/>
      <w:color w:val="404040" w:themeColor="text1" w:themeTint="BF"/>
    </w:rPr>
  </w:style>
  <w:style w:type="paragraph" w:styleId="BalloonText">
    <w:name w:val="Balloon Text"/>
    <w:basedOn w:val="Normal"/>
    <w:link w:val="BalloonTextChar"/>
    <w:uiPriority w:val="99"/>
    <w:semiHidden/>
    <w:unhideWhenUsed/>
    <w:rsid w:val="00E3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82"/>
    <w:rPr>
      <w:rFonts w:ascii="Segoe UI" w:hAnsi="Segoe UI" w:cs="Segoe UI"/>
      <w:sz w:val="18"/>
      <w:szCs w:val="18"/>
    </w:rPr>
  </w:style>
  <w:style w:type="paragraph" w:styleId="Header">
    <w:name w:val="header"/>
    <w:basedOn w:val="Normal"/>
    <w:link w:val="HeaderChar"/>
    <w:uiPriority w:val="99"/>
    <w:unhideWhenUsed/>
    <w:rsid w:val="005F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DB"/>
  </w:style>
  <w:style w:type="paragraph" w:styleId="Footer">
    <w:name w:val="footer"/>
    <w:basedOn w:val="Normal"/>
    <w:link w:val="FooterChar"/>
    <w:uiPriority w:val="99"/>
    <w:unhideWhenUsed/>
    <w:rsid w:val="005F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DB"/>
  </w:style>
  <w:style w:type="character" w:styleId="Emphasis">
    <w:name w:val="Emphasis"/>
    <w:basedOn w:val="DefaultParagraphFont"/>
    <w:uiPriority w:val="20"/>
    <w:qFormat/>
    <w:rsid w:val="00AD5886"/>
    <w:rPr>
      <w:i/>
      <w:iCs/>
    </w:rPr>
  </w:style>
  <w:style w:type="paragraph" w:styleId="FootnoteText">
    <w:name w:val="footnote text"/>
    <w:basedOn w:val="Normal"/>
    <w:link w:val="FootnoteTextChar"/>
    <w:uiPriority w:val="99"/>
    <w:semiHidden/>
    <w:unhideWhenUsed/>
    <w:rsid w:val="00573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9C"/>
    <w:rPr>
      <w:sz w:val="20"/>
      <w:szCs w:val="20"/>
    </w:rPr>
  </w:style>
  <w:style w:type="character" w:styleId="FootnoteReference">
    <w:name w:val="footnote reference"/>
    <w:basedOn w:val="DefaultParagraphFont"/>
    <w:uiPriority w:val="99"/>
    <w:semiHidden/>
    <w:unhideWhenUsed/>
    <w:rsid w:val="0057309C"/>
    <w:rPr>
      <w:vertAlign w:val="superscript"/>
    </w:rPr>
  </w:style>
  <w:style w:type="character" w:styleId="IntenseEmphasis">
    <w:name w:val="Intense Emphasis"/>
    <w:basedOn w:val="DefaultParagraphFont"/>
    <w:uiPriority w:val="21"/>
    <w:qFormat/>
    <w:rsid w:val="006C0BC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7968">
      <w:bodyDiv w:val="1"/>
      <w:marLeft w:val="0"/>
      <w:marRight w:val="0"/>
      <w:marTop w:val="0"/>
      <w:marBottom w:val="0"/>
      <w:divBdr>
        <w:top w:val="none" w:sz="0" w:space="0" w:color="auto"/>
        <w:left w:val="none" w:sz="0" w:space="0" w:color="auto"/>
        <w:bottom w:val="none" w:sz="0" w:space="0" w:color="auto"/>
        <w:right w:val="none" w:sz="0" w:space="0" w:color="auto"/>
      </w:divBdr>
    </w:div>
    <w:div w:id="515651338">
      <w:bodyDiv w:val="1"/>
      <w:marLeft w:val="0"/>
      <w:marRight w:val="0"/>
      <w:marTop w:val="0"/>
      <w:marBottom w:val="0"/>
      <w:divBdr>
        <w:top w:val="none" w:sz="0" w:space="0" w:color="auto"/>
        <w:left w:val="none" w:sz="0" w:space="0" w:color="auto"/>
        <w:bottom w:val="none" w:sz="0" w:space="0" w:color="auto"/>
        <w:right w:val="none" w:sz="0" w:space="0" w:color="auto"/>
      </w:divBdr>
    </w:div>
    <w:div w:id="862206158">
      <w:bodyDiv w:val="1"/>
      <w:marLeft w:val="0"/>
      <w:marRight w:val="0"/>
      <w:marTop w:val="0"/>
      <w:marBottom w:val="0"/>
      <w:divBdr>
        <w:top w:val="none" w:sz="0" w:space="0" w:color="auto"/>
        <w:left w:val="none" w:sz="0" w:space="0" w:color="auto"/>
        <w:bottom w:val="none" w:sz="0" w:space="0" w:color="auto"/>
        <w:right w:val="none" w:sz="0" w:space="0" w:color="auto"/>
      </w:divBdr>
    </w:div>
    <w:div w:id="1120687572">
      <w:bodyDiv w:val="1"/>
      <w:marLeft w:val="0"/>
      <w:marRight w:val="0"/>
      <w:marTop w:val="0"/>
      <w:marBottom w:val="0"/>
      <w:divBdr>
        <w:top w:val="none" w:sz="0" w:space="0" w:color="auto"/>
        <w:left w:val="none" w:sz="0" w:space="0" w:color="auto"/>
        <w:bottom w:val="none" w:sz="0" w:space="0" w:color="auto"/>
        <w:right w:val="none" w:sz="0" w:space="0" w:color="auto"/>
      </w:divBdr>
    </w:div>
    <w:div w:id="1574851917">
      <w:bodyDiv w:val="1"/>
      <w:marLeft w:val="0"/>
      <w:marRight w:val="0"/>
      <w:marTop w:val="0"/>
      <w:marBottom w:val="0"/>
      <w:divBdr>
        <w:top w:val="none" w:sz="0" w:space="0" w:color="auto"/>
        <w:left w:val="none" w:sz="0" w:space="0" w:color="auto"/>
        <w:bottom w:val="none" w:sz="0" w:space="0" w:color="auto"/>
        <w:right w:val="none" w:sz="0" w:space="0" w:color="auto"/>
      </w:divBdr>
    </w:div>
    <w:div w:id="17358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crl/standards/ilframework" TargetMode="External"/><Relationship Id="rId5" Type="http://schemas.openxmlformats.org/officeDocument/2006/relationships/webSettings" Target="webSettings.xml"/><Relationship Id="rId10" Type="http://schemas.openxmlformats.org/officeDocument/2006/relationships/hyperlink" Target="https://cft.vanderbilt.edu/guides-sub-pages/blooms-taxono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a.org/acrl/standards/ilframework" TargetMode="External"/><Relationship Id="rId1"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9624-B413-44DF-91B6-F1B836B9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Gillanders, Heather</cp:lastModifiedBy>
  <cp:revision>161</cp:revision>
  <cp:lastPrinted>2015-11-19T21:58:00Z</cp:lastPrinted>
  <dcterms:created xsi:type="dcterms:W3CDTF">2015-11-17T18:03:00Z</dcterms:created>
  <dcterms:modified xsi:type="dcterms:W3CDTF">2016-04-21T16:16:00Z</dcterms:modified>
</cp:coreProperties>
</file>