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6EABE" w14:textId="71DE6011" w:rsidR="00505694" w:rsidRDefault="00023A58" w:rsidP="00724CFE">
      <w:pPr>
        <w:spacing w:before="79" w:line="468" w:lineRule="exact"/>
        <w:jc w:val="center"/>
        <w:rPr>
          <w:b/>
          <w:sz w:val="40"/>
        </w:rPr>
      </w:pPr>
      <w:r>
        <w:rPr>
          <w:b/>
          <w:sz w:val="40"/>
        </w:rPr>
        <w:softHyphen/>
      </w:r>
      <w:r w:rsidR="00724CFE">
        <w:rPr>
          <w:b/>
          <w:sz w:val="40"/>
        </w:rPr>
        <w:t>DLO Rubric: Intercultural Collaboration &amp; Diversity (ICD)</w:t>
      </w:r>
    </w:p>
    <w:p w14:paraId="55384401" w14:textId="77777777" w:rsidR="00724CFE" w:rsidRPr="00724CFE" w:rsidRDefault="00724CFE" w:rsidP="00724CFE">
      <w:pPr>
        <w:pStyle w:val="ListParagraph"/>
        <w:numPr>
          <w:ilvl w:val="0"/>
          <w:numId w:val="3"/>
        </w:numPr>
        <w:tabs>
          <w:tab w:val="left" w:pos="2980"/>
        </w:tabs>
        <w:rPr>
          <w:sz w:val="24"/>
        </w:rPr>
      </w:pPr>
      <w:r w:rsidRPr="00724CFE">
        <w:rPr>
          <w:sz w:val="24"/>
        </w:rPr>
        <w:t>Demonstrate successful application of an interdependent, diverse, and multicultural worldview through collaborative engagement.</w:t>
      </w:r>
    </w:p>
    <w:tbl>
      <w:tblPr>
        <w:tblW w:w="1429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880"/>
        <w:gridCol w:w="2790"/>
        <w:gridCol w:w="2790"/>
        <w:gridCol w:w="3060"/>
        <w:gridCol w:w="720"/>
      </w:tblGrid>
      <w:tr w:rsidR="00D74E4F" w14:paraId="14785AD7" w14:textId="77777777" w:rsidTr="00D74E4F">
        <w:trPr>
          <w:trHeight w:hRule="exact" w:val="458"/>
        </w:trPr>
        <w:tc>
          <w:tcPr>
            <w:tcW w:w="2055" w:type="dxa"/>
          </w:tcPr>
          <w:p w14:paraId="6A95B10E" w14:textId="77777777" w:rsidR="00505694" w:rsidRDefault="00724CFE">
            <w:pPr>
              <w:pStyle w:val="TableParagraph"/>
              <w:spacing w:before="84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2880" w:type="dxa"/>
          </w:tcPr>
          <w:p w14:paraId="0BB645FF" w14:textId="77777777" w:rsidR="00505694" w:rsidRDefault="00724CFE">
            <w:pPr>
              <w:pStyle w:val="TableParagraph"/>
              <w:spacing w:before="84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1-Beginning</w:t>
            </w:r>
          </w:p>
        </w:tc>
        <w:tc>
          <w:tcPr>
            <w:tcW w:w="2790" w:type="dxa"/>
          </w:tcPr>
          <w:p w14:paraId="6AA80E4B" w14:textId="77777777" w:rsidR="00505694" w:rsidRDefault="00724CFE">
            <w:pPr>
              <w:pStyle w:val="TableParagraph"/>
              <w:spacing w:before="84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2-Developing</w:t>
            </w:r>
          </w:p>
        </w:tc>
        <w:tc>
          <w:tcPr>
            <w:tcW w:w="2790" w:type="dxa"/>
          </w:tcPr>
          <w:p w14:paraId="4C393819" w14:textId="77777777" w:rsidR="00505694" w:rsidRDefault="00724CFE">
            <w:pPr>
              <w:pStyle w:val="TableParagraph"/>
              <w:spacing w:before="84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3-Competent</w:t>
            </w:r>
          </w:p>
        </w:tc>
        <w:tc>
          <w:tcPr>
            <w:tcW w:w="3060" w:type="dxa"/>
          </w:tcPr>
          <w:p w14:paraId="4A2A03A7" w14:textId="77777777" w:rsidR="00505694" w:rsidRDefault="00724CFE">
            <w:pPr>
              <w:pStyle w:val="TableParagraph"/>
              <w:spacing w:before="84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4-Accomplished</w:t>
            </w:r>
          </w:p>
        </w:tc>
        <w:tc>
          <w:tcPr>
            <w:tcW w:w="720" w:type="dxa"/>
          </w:tcPr>
          <w:p w14:paraId="48DAFF13" w14:textId="77777777" w:rsidR="00505694" w:rsidRDefault="00724CFE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D74E4F" w14:paraId="2321C464" w14:textId="77777777" w:rsidTr="00D66F6A">
        <w:trPr>
          <w:trHeight w:hRule="exact" w:val="2286"/>
        </w:trPr>
        <w:tc>
          <w:tcPr>
            <w:tcW w:w="2055" w:type="dxa"/>
          </w:tcPr>
          <w:p w14:paraId="6841A2E6" w14:textId="77777777" w:rsidR="00505694" w:rsidRDefault="00505694" w:rsidP="005403E7">
            <w:pPr>
              <w:pStyle w:val="TableParagraph"/>
              <w:ind w:left="0"/>
              <w:rPr>
                <w:sz w:val="28"/>
              </w:rPr>
            </w:pPr>
          </w:p>
          <w:p w14:paraId="3913459F" w14:textId="77777777" w:rsidR="00505694" w:rsidRDefault="00505694" w:rsidP="005403E7">
            <w:pPr>
              <w:pStyle w:val="TableParagraph"/>
              <w:ind w:left="0"/>
              <w:rPr>
                <w:sz w:val="28"/>
              </w:rPr>
            </w:pPr>
          </w:p>
          <w:p w14:paraId="3362A61A" w14:textId="77777777" w:rsidR="00505694" w:rsidRDefault="00505694" w:rsidP="005403E7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6A8AF5E8" w14:textId="77777777" w:rsidR="00505694" w:rsidRDefault="00724CFE" w:rsidP="005403E7">
            <w:pPr>
              <w:pStyle w:val="TableParagraph"/>
              <w:ind w:left="489" w:right="227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Knowledge of Diversity</w:t>
            </w:r>
          </w:p>
        </w:tc>
        <w:tc>
          <w:tcPr>
            <w:tcW w:w="2880" w:type="dxa"/>
          </w:tcPr>
          <w:p w14:paraId="7008A38A" w14:textId="07A32E78" w:rsidR="00505694" w:rsidRDefault="00724CFE" w:rsidP="00D66F6A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Demonstrates little knowledge about specific cultural beliefs, values, and sensibilities that might </w:t>
            </w:r>
            <w:r w:rsidR="005403E7">
              <w:t>shape the way that people experience the world and affect how th</w:t>
            </w:r>
            <w:r w:rsidR="00D66F6A">
              <w:t>ey communicate.</w:t>
            </w:r>
          </w:p>
        </w:tc>
        <w:tc>
          <w:tcPr>
            <w:tcW w:w="2790" w:type="dxa"/>
          </w:tcPr>
          <w:p w14:paraId="1676D24E" w14:textId="4C781E65" w:rsidR="00505694" w:rsidRDefault="00724CFE" w:rsidP="00D66F6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Demonstrates some basic knowledge about specific cultural beliefs, values, and sensibilities that might </w:t>
            </w:r>
            <w:r w:rsidR="005403E7">
              <w:t>shape the way that people experience the world and affect how they communicate</w:t>
            </w:r>
            <w:r w:rsidR="00D66F6A">
              <w:t>.</w:t>
            </w:r>
          </w:p>
        </w:tc>
        <w:tc>
          <w:tcPr>
            <w:tcW w:w="2790" w:type="dxa"/>
          </w:tcPr>
          <w:p w14:paraId="676EC6D6" w14:textId="33F3068E" w:rsidR="00505694" w:rsidRDefault="00724CFE" w:rsidP="00D66F6A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Mostly demonstrates knowledge about specific cultural beliefs, values, and sensibilities that might </w:t>
            </w:r>
            <w:r w:rsidR="005403E7">
              <w:t>shape the way that people experience the world and affect how they communicate</w:t>
            </w:r>
            <w:r w:rsidR="00D66F6A">
              <w:t>.</w:t>
            </w:r>
          </w:p>
        </w:tc>
        <w:tc>
          <w:tcPr>
            <w:tcW w:w="3060" w:type="dxa"/>
          </w:tcPr>
          <w:p w14:paraId="1FCEEB0B" w14:textId="37843050" w:rsidR="00505694" w:rsidRDefault="00724CFE" w:rsidP="00D66F6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Clearly demonstrates knowledge about specific cultural beliefs, values, and sensibilities that might </w:t>
            </w:r>
            <w:r w:rsidR="005403E7">
              <w:t>shape the way that people experience the world and affect how they communicate</w:t>
            </w:r>
            <w:r w:rsidR="00D66F6A">
              <w:t>.</w:t>
            </w:r>
          </w:p>
        </w:tc>
        <w:tc>
          <w:tcPr>
            <w:tcW w:w="720" w:type="dxa"/>
          </w:tcPr>
          <w:p w14:paraId="601BBCAB" w14:textId="77777777" w:rsidR="00505694" w:rsidRDefault="00505694"/>
        </w:tc>
      </w:tr>
      <w:tr w:rsidR="00D74E4F" w14:paraId="323047CF" w14:textId="77777777" w:rsidTr="00D74E4F">
        <w:trPr>
          <w:trHeight w:hRule="exact" w:val="2349"/>
        </w:trPr>
        <w:tc>
          <w:tcPr>
            <w:tcW w:w="2055" w:type="dxa"/>
          </w:tcPr>
          <w:p w14:paraId="6177E2C1" w14:textId="77777777" w:rsidR="00505694" w:rsidRDefault="00505694" w:rsidP="005403E7">
            <w:pPr>
              <w:pStyle w:val="TableParagraph"/>
              <w:ind w:left="0"/>
              <w:rPr>
                <w:sz w:val="28"/>
              </w:rPr>
            </w:pPr>
          </w:p>
          <w:p w14:paraId="4F42E951" w14:textId="77777777" w:rsidR="00505694" w:rsidRDefault="00505694" w:rsidP="005403E7">
            <w:pPr>
              <w:pStyle w:val="TableParagraph"/>
              <w:ind w:left="0"/>
              <w:rPr>
                <w:sz w:val="28"/>
              </w:rPr>
            </w:pPr>
          </w:p>
          <w:p w14:paraId="54FDB525" w14:textId="36AEF206" w:rsidR="00505694" w:rsidRDefault="00724CFE" w:rsidP="001D0E38">
            <w:pPr>
              <w:pStyle w:val="TableParagraph"/>
              <w:spacing w:before="188"/>
              <w:ind w:left="345" w:right="270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9129E7">
              <w:rPr>
                <w:b/>
                <w:sz w:val="24"/>
              </w:rPr>
              <w:t>ollaborative Engagement</w:t>
            </w:r>
          </w:p>
        </w:tc>
        <w:tc>
          <w:tcPr>
            <w:tcW w:w="2880" w:type="dxa"/>
          </w:tcPr>
          <w:p w14:paraId="241B3BC9" w14:textId="780EBB9B" w:rsidR="00505694" w:rsidRDefault="00830340">
            <w:pPr>
              <w:pStyle w:val="TableParagraph"/>
              <w:spacing w:before="2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Does not incorporate diverse and multiple perspectives when </w:t>
            </w:r>
            <w:r w:rsidR="00724CFE">
              <w:rPr>
                <w:sz w:val="24"/>
              </w:rPr>
              <w:t>working with members of one’s own and other cultures and is unable to negotiate a shared understanding</w:t>
            </w:r>
            <w:r w:rsidR="00D74E4F">
              <w:rPr>
                <w:sz w:val="24"/>
              </w:rPr>
              <w:t>.</w:t>
            </w:r>
          </w:p>
        </w:tc>
        <w:tc>
          <w:tcPr>
            <w:tcW w:w="2790" w:type="dxa"/>
          </w:tcPr>
          <w:p w14:paraId="43D164B6" w14:textId="684010A2" w:rsidR="00505694" w:rsidRDefault="00830340" w:rsidP="00B100D2">
            <w:pPr>
              <w:pStyle w:val="TableParagraph"/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 xml:space="preserve">Sometimes incorporates diverse and multiple perspectives when working </w:t>
            </w:r>
            <w:r w:rsidR="00724CFE">
              <w:rPr>
                <w:sz w:val="24"/>
              </w:rPr>
              <w:t>with members of one’s own and other cultures and can sometimes negotiate a shared understanding</w:t>
            </w:r>
            <w:r w:rsidR="00D74E4F">
              <w:rPr>
                <w:sz w:val="24"/>
              </w:rPr>
              <w:t>.</w:t>
            </w:r>
          </w:p>
        </w:tc>
        <w:tc>
          <w:tcPr>
            <w:tcW w:w="2790" w:type="dxa"/>
          </w:tcPr>
          <w:p w14:paraId="53117A06" w14:textId="7CCB0345" w:rsidR="00505694" w:rsidRDefault="00724CFE">
            <w:pPr>
              <w:pStyle w:val="TableParagraph"/>
              <w:spacing w:before="2"/>
              <w:ind w:right="111"/>
              <w:rPr>
                <w:sz w:val="24"/>
              </w:rPr>
            </w:pPr>
            <w:r>
              <w:rPr>
                <w:sz w:val="24"/>
              </w:rPr>
              <w:t>Mostly incorporates diverse and multiple perspectives when working with members of one’s own and other cultures and is able to negotiate a shared understanding</w:t>
            </w:r>
            <w:r w:rsidR="00D74E4F">
              <w:rPr>
                <w:sz w:val="24"/>
              </w:rPr>
              <w:t>.</w:t>
            </w:r>
          </w:p>
        </w:tc>
        <w:tc>
          <w:tcPr>
            <w:tcW w:w="3060" w:type="dxa"/>
          </w:tcPr>
          <w:p w14:paraId="60832533" w14:textId="134967E7" w:rsidR="00505694" w:rsidRDefault="00724CFE">
            <w:pPr>
              <w:pStyle w:val="TableParagraph"/>
              <w:spacing w:before="2"/>
              <w:ind w:right="113"/>
              <w:rPr>
                <w:sz w:val="24"/>
              </w:rPr>
            </w:pPr>
            <w:r>
              <w:rPr>
                <w:sz w:val="24"/>
              </w:rPr>
              <w:t>Consistently incorporates diverse and multiple perspectives when working with others and is able to negotiate and facilitate a shared understanding</w:t>
            </w:r>
            <w:r w:rsidR="00D74E4F">
              <w:rPr>
                <w:sz w:val="24"/>
              </w:rPr>
              <w:t>.</w:t>
            </w:r>
          </w:p>
        </w:tc>
        <w:tc>
          <w:tcPr>
            <w:tcW w:w="720" w:type="dxa"/>
          </w:tcPr>
          <w:p w14:paraId="2236FA62" w14:textId="77777777" w:rsidR="00505694" w:rsidRDefault="00505694"/>
        </w:tc>
      </w:tr>
      <w:tr w:rsidR="00D74E4F" w14:paraId="27E05E34" w14:textId="77777777" w:rsidTr="00D74E4F">
        <w:trPr>
          <w:trHeight w:hRule="exact" w:val="3060"/>
        </w:trPr>
        <w:tc>
          <w:tcPr>
            <w:tcW w:w="2055" w:type="dxa"/>
          </w:tcPr>
          <w:p w14:paraId="732BC8FF" w14:textId="2AB3D428" w:rsidR="00505694" w:rsidRDefault="00505694">
            <w:pPr>
              <w:pStyle w:val="TableParagraph"/>
              <w:spacing w:before="233"/>
              <w:ind w:left="412" w:right="392" w:firstLine="285"/>
              <w:rPr>
                <w:b/>
                <w:sz w:val="24"/>
              </w:rPr>
            </w:pPr>
          </w:p>
          <w:p w14:paraId="038D663F" w14:textId="1E8A3D8B" w:rsidR="00F503A1" w:rsidRDefault="00F503A1" w:rsidP="001D0E38">
            <w:pPr>
              <w:pStyle w:val="TableParagraph"/>
              <w:spacing w:before="233"/>
              <w:ind w:left="16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Knowledge of </w:t>
            </w:r>
            <w:r w:rsidR="00B35302">
              <w:rPr>
                <w:b/>
                <w:sz w:val="24"/>
              </w:rPr>
              <w:t xml:space="preserve">implicit </w:t>
            </w:r>
            <w:r>
              <w:rPr>
                <w:b/>
                <w:sz w:val="24"/>
              </w:rPr>
              <w:t>bias</w:t>
            </w:r>
          </w:p>
        </w:tc>
        <w:tc>
          <w:tcPr>
            <w:tcW w:w="2880" w:type="dxa"/>
          </w:tcPr>
          <w:p w14:paraId="629837AF" w14:textId="0F000A87" w:rsidR="00505694" w:rsidRDefault="00B8704D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Does not demonstrate an awareness of own attitudes or stereotypes that might affect understandings, actions, and decisions.</w:t>
            </w:r>
          </w:p>
        </w:tc>
        <w:tc>
          <w:tcPr>
            <w:tcW w:w="2790" w:type="dxa"/>
          </w:tcPr>
          <w:p w14:paraId="049D0DC7" w14:textId="1FDA78B6" w:rsidR="00505694" w:rsidRDefault="00B8704D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Sometimes demonstrates an awareness of own attitudes or stereotypes that might affect understandings, actions, and decisions.</w:t>
            </w:r>
          </w:p>
        </w:tc>
        <w:tc>
          <w:tcPr>
            <w:tcW w:w="2790" w:type="dxa"/>
          </w:tcPr>
          <w:p w14:paraId="18262D50" w14:textId="407F5AB2" w:rsidR="00505694" w:rsidRDefault="00B8704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Mostly demonstrates an awareness of own attitudes or stereotypes that might affect understandings, actions, and decisions.</w:t>
            </w:r>
          </w:p>
        </w:tc>
        <w:tc>
          <w:tcPr>
            <w:tcW w:w="3060" w:type="dxa"/>
          </w:tcPr>
          <w:p w14:paraId="0BA51B60" w14:textId="2670774B" w:rsidR="00505694" w:rsidRDefault="00643F9A" w:rsidP="005B1A2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Clearly demonstrates </w:t>
            </w:r>
            <w:r w:rsidR="005B1A23">
              <w:rPr>
                <w:sz w:val="24"/>
              </w:rPr>
              <w:t xml:space="preserve">an awareness of own attitudes or stereotypes that might </w:t>
            </w:r>
            <w:r w:rsidR="00B8704D">
              <w:rPr>
                <w:sz w:val="24"/>
              </w:rPr>
              <w:t>affect</w:t>
            </w:r>
            <w:r w:rsidR="005B1A23">
              <w:rPr>
                <w:sz w:val="24"/>
              </w:rPr>
              <w:t xml:space="preserve"> understandings, actio</w:t>
            </w:r>
            <w:r w:rsidR="00B8704D">
              <w:rPr>
                <w:sz w:val="24"/>
              </w:rPr>
              <w:t>ns, and decisions.</w:t>
            </w:r>
          </w:p>
        </w:tc>
        <w:tc>
          <w:tcPr>
            <w:tcW w:w="720" w:type="dxa"/>
          </w:tcPr>
          <w:p w14:paraId="5817E606" w14:textId="77777777" w:rsidR="00505694" w:rsidRDefault="00505694"/>
        </w:tc>
      </w:tr>
    </w:tbl>
    <w:p w14:paraId="2D05557F" w14:textId="77777777" w:rsidR="00505694" w:rsidRDefault="00505694">
      <w:pPr>
        <w:sectPr w:rsidR="00505694">
          <w:type w:val="continuous"/>
          <w:pgSz w:w="15840" w:h="12240" w:orient="landscape"/>
          <w:pgMar w:top="640" w:right="1820" w:bottom="280" w:left="620" w:header="720" w:footer="720" w:gutter="0"/>
          <w:cols w:space="720"/>
        </w:sectPr>
      </w:pPr>
      <w:bookmarkStart w:id="0" w:name="_GoBack"/>
      <w:bookmarkEnd w:id="0"/>
    </w:p>
    <w:p w14:paraId="40ADBB7C" w14:textId="77777777" w:rsidR="00505694" w:rsidRDefault="00505694">
      <w:pPr>
        <w:pStyle w:val="BodyText"/>
        <w:spacing w:before="6"/>
        <w:rPr>
          <w:sz w:val="27"/>
        </w:rPr>
      </w:pPr>
    </w:p>
    <w:p w14:paraId="63FE4F6C" w14:textId="77777777" w:rsidR="00505694" w:rsidRDefault="00724CFE">
      <w:pPr>
        <w:pStyle w:val="Heading1"/>
        <w:spacing w:before="100"/>
      </w:pPr>
      <w:r>
        <w:t>Criteria Explanation:</w:t>
      </w:r>
    </w:p>
    <w:p w14:paraId="2E39D819" w14:textId="1B9C0E48" w:rsidR="00505694" w:rsidRDefault="00724CFE">
      <w:pPr>
        <w:pStyle w:val="BodyText"/>
        <w:spacing w:before="1"/>
        <w:ind w:left="100" w:right="98"/>
      </w:pPr>
      <w:r>
        <w:rPr>
          <w:b/>
        </w:rPr>
        <w:t xml:space="preserve">Knowledge of </w:t>
      </w:r>
      <w:r w:rsidR="005403E7">
        <w:rPr>
          <w:b/>
        </w:rPr>
        <w:t>d</w:t>
      </w:r>
      <w:r>
        <w:rPr>
          <w:b/>
        </w:rPr>
        <w:t xml:space="preserve">iversity- </w:t>
      </w:r>
      <w:r>
        <w:t xml:space="preserve">relates to how well a student demonstrates knowledge about specific cultural beliefs, values, and sensibilities that might </w:t>
      </w:r>
      <w:r w:rsidR="00970FD7">
        <w:t xml:space="preserve">shape the way that people experience the world and </w:t>
      </w:r>
      <w:r>
        <w:t xml:space="preserve">affect the way </w:t>
      </w:r>
      <w:r w:rsidR="00970FD7">
        <w:t xml:space="preserve">that they </w:t>
      </w:r>
      <w:r>
        <w:t>communicate with each other within and across groups.</w:t>
      </w:r>
    </w:p>
    <w:p w14:paraId="7C240634" w14:textId="77777777" w:rsidR="00505694" w:rsidRDefault="00505694">
      <w:pPr>
        <w:pStyle w:val="BodyText"/>
        <w:spacing w:before="10"/>
        <w:rPr>
          <w:sz w:val="23"/>
        </w:rPr>
      </w:pPr>
    </w:p>
    <w:p w14:paraId="0D0EF1E7" w14:textId="47D8BFD7" w:rsidR="00505694" w:rsidRDefault="00724CFE">
      <w:pPr>
        <w:pStyle w:val="BodyText"/>
        <w:ind w:left="100" w:right="211"/>
      </w:pPr>
      <w:proofErr w:type="gramStart"/>
      <w:r>
        <w:rPr>
          <w:b/>
        </w:rPr>
        <w:t xml:space="preserve">Cultural </w:t>
      </w:r>
      <w:r w:rsidR="005403E7">
        <w:rPr>
          <w:b/>
        </w:rPr>
        <w:t>i</w:t>
      </w:r>
      <w:r>
        <w:rPr>
          <w:b/>
        </w:rPr>
        <w:t xml:space="preserve">nteraction- </w:t>
      </w:r>
      <w:r>
        <w:t>how a student navigates interactions within the social and academic context when working in groups, one on one, or with the instructor.</w:t>
      </w:r>
      <w:proofErr w:type="gramEnd"/>
    </w:p>
    <w:p w14:paraId="1162EBE2" w14:textId="77777777" w:rsidR="00505694" w:rsidRDefault="00505694">
      <w:pPr>
        <w:pStyle w:val="BodyText"/>
        <w:spacing w:before="10"/>
        <w:rPr>
          <w:sz w:val="23"/>
        </w:rPr>
      </w:pPr>
    </w:p>
    <w:p w14:paraId="6A832F7E" w14:textId="4A8DD9AA" w:rsidR="00505694" w:rsidRDefault="005403E7" w:rsidP="005403E7">
      <w:pPr>
        <w:pStyle w:val="BodyText"/>
        <w:ind w:left="90"/>
        <w:rPr>
          <w:sz w:val="28"/>
        </w:rPr>
      </w:pPr>
      <w:proofErr w:type="gramStart"/>
      <w:r>
        <w:rPr>
          <w:b/>
        </w:rPr>
        <w:t xml:space="preserve">Implicit bias- </w:t>
      </w:r>
      <w:r w:rsidR="00643F9A">
        <w:t>the attitudes or stereotypes that affect our understanding, actions, and decisions in an unconscious manner.</w:t>
      </w:r>
      <w:proofErr w:type="gramEnd"/>
    </w:p>
    <w:p w14:paraId="45C1E012" w14:textId="77777777" w:rsidR="00505694" w:rsidRDefault="00505694">
      <w:pPr>
        <w:pStyle w:val="BodyText"/>
        <w:rPr>
          <w:sz w:val="32"/>
        </w:rPr>
      </w:pPr>
    </w:p>
    <w:p w14:paraId="39BDF093" w14:textId="77777777" w:rsidR="00505694" w:rsidRDefault="00724CFE">
      <w:pPr>
        <w:pStyle w:val="Heading1"/>
        <w:ind w:left="5189"/>
      </w:pPr>
      <w:r>
        <w:t>Rating Scale Explanation:</w:t>
      </w:r>
    </w:p>
    <w:p w14:paraId="46C30FAB" w14:textId="77777777" w:rsidR="00505694" w:rsidRDefault="00505694">
      <w:pPr>
        <w:pStyle w:val="BodyText"/>
        <w:spacing w:before="10"/>
        <w:rPr>
          <w:b/>
          <w:sz w:val="35"/>
        </w:rPr>
      </w:pPr>
    </w:p>
    <w:p w14:paraId="443CEBE9" w14:textId="77777777" w:rsidR="00505694" w:rsidRDefault="00724CFE">
      <w:pPr>
        <w:pStyle w:val="ListParagraph"/>
        <w:numPr>
          <w:ilvl w:val="0"/>
          <w:numId w:val="1"/>
        </w:numPr>
        <w:tabs>
          <w:tab w:val="left" w:pos="820"/>
        </w:tabs>
        <w:spacing w:before="1" w:line="281" w:lineRule="exact"/>
        <w:ind w:firstLine="0"/>
        <w:rPr>
          <w:sz w:val="24"/>
        </w:rPr>
      </w:pPr>
      <w:r>
        <w:rPr>
          <w:b/>
          <w:sz w:val="24"/>
        </w:rPr>
        <w:t>Beginning</w:t>
      </w:r>
      <w:r>
        <w:rPr>
          <w:sz w:val="24"/>
        </w:rPr>
        <w:t>:  lacks evidence of meeting the</w:t>
      </w:r>
      <w:r>
        <w:rPr>
          <w:spacing w:val="-26"/>
          <w:sz w:val="24"/>
        </w:rPr>
        <w:t xml:space="preserve"> </w:t>
      </w:r>
      <w:r>
        <w:rPr>
          <w:sz w:val="24"/>
        </w:rPr>
        <w:t>criterion.</w:t>
      </w:r>
    </w:p>
    <w:p w14:paraId="70332CD9" w14:textId="77777777" w:rsidR="00505694" w:rsidRDefault="00724CFE">
      <w:pPr>
        <w:pStyle w:val="ListParagraph"/>
        <w:numPr>
          <w:ilvl w:val="0"/>
          <w:numId w:val="1"/>
        </w:numPr>
        <w:tabs>
          <w:tab w:val="left" w:pos="820"/>
        </w:tabs>
        <w:ind w:right="6331" w:firstLine="0"/>
        <w:rPr>
          <w:sz w:val="24"/>
        </w:rPr>
      </w:pPr>
      <w:r>
        <w:rPr>
          <w:b/>
          <w:sz w:val="24"/>
        </w:rPr>
        <w:t>Developing</w:t>
      </w:r>
      <w:r>
        <w:rPr>
          <w:sz w:val="24"/>
        </w:rPr>
        <w:t>: somewhat demonstrates evidence of meeting the criterion. 3</w:t>
      </w:r>
      <w:proofErr w:type="gramStart"/>
      <w:r>
        <w:rPr>
          <w:sz w:val="24"/>
        </w:rPr>
        <w:t xml:space="preserve">-   </w:t>
      </w:r>
      <w:r>
        <w:rPr>
          <w:b/>
          <w:sz w:val="24"/>
        </w:rPr>
        <w:t>Competent</w:t>
      </w:r>
      <w:proofErr w:type="gramEnd"/>
      <w:r>
        <w:rPr>
          <w:sz w:val="24"/>
        </w:rPr>
        <w:t>: meets the</w:t>
      </w:r>
      <w:r>
        <w:rPr>
          <w:spacing w:val="-25"/>
          <w:sz w:val="24"/>
        </w:rPr>
        <w:t xml:space="preserve"> </w:t>
      </w:r>
      <w:r>
        <w:rPr>
          <w:sz w:val="24"/>
        </w:rPr>
        <w:t>criterion.</w:t>
      </w:r>
    </w:p>
    <w:p w14:paraId="764C6D8D" w14:textId="77777777" w:rsidR="00505694" w:rsidRDefault="00724CFE">
      <w:pPr>
        <w:pStyle w:val="BodyText"/>
        <w:spacing w:line="281" w:lineRule="exact"/>
        <w:ind w:left="460"/>
      </w:pPr>
      <w:r>
        <w:t>4</w:t>
      </w:r>
      <w:proofErr w:type="gramStart"/>
      <w:r>
        <w:t xml:space="preserve">-  </w:t>
      </w:r>
      <w:r>
        <w:rPr>
          <w:b/>
        </w:rPr>
        <w:t>Accomplished</w:t>
      </w:r>
      <w:proofErr w:type="gramEnd"/>
      <w:r>
        <w:t>: meets and/or exceeds the criterion in a meaningful way.</w:t>
      </w:r>
    </w:p>
    <w:p w14:paraId="6D13A9A3" w14:textId="77777777" w:rsidR="00505694" w:rsidRDefault="00505694">
      <w:pPr>
        <w:pStyle w:val="BodyText"/>
        <w:spacing w:before="9"/>
        <w:rPr>
          <w:sz w:val="23"/>
        </w:rPr>
      </w:pPr>
    </w:p>
    <w:p w14:paraId="265FD651" w14:textId="77777777" w:rsidR="00505694" w:rsidRDefault="00724CFE">
      <w:pPr>
        <w:pStyle w:val="Heading1"/>
        <w:ind w:left="5188"/>
      </w:pPr>
      <w:r>
        <w:t>Glossary of Terms:</w:t>
      </w:r>
    </w:p>
    <w:p w14:paraId="45AD9DE5" w14:textId="77777777" w:rsidR="00505694" w:rsidRDefault="00724CFE">
      <w:pPr>
        <w:pStyle w:val="BodyText"/>
        <w:spacing w:before="1"/>
        <w:ind w:left="100"/>
      </w:pPr>
      <w:r>
        <w:rPr>
          <w:b/>
        </w:rPr>
        <w:t xml:space="preserve">Culture </w:t>
      </w:r>
      <w:r>
        <w:t xml:space="preserve">the beliefs, customs, </w:t>
      </w:r>
      <w:proofErr w:type="gramStart"/>
      <w:r>
        <w:t>ways</w:t>
      </w:r>
      <w:proofErr w:type="gramEnd"/>
      <w:r>
        <w:t xml:space="preserve"> of thinking, behaving, or working of a particular group of people</w:t>
      </w:r>
    </w:p>
    <w:p w14:paraId="308F2412" w14:textId="3204A916" w:rsidR="00505694" w:rsidRDefault="00724CFE">
      <w:pPr>
        <w:pStyle w:val="BodyText"/>
        <w:spacing w:before="1"/>
        <w:ind w:left="100" w:right="7393"/>
      </w:pPr>
      <w:r>
        <w:rPr>
          <w:b/>
        </w:rPr>
        <w:t xml:space="preserve">Demonstrate </w:t>
      </w:r>
      <w:r>
        <w:t xml:space="preserve">to show (a quality, feeling, etc.) clearly to other people </w:t>
      </w:r>
    </w:p>
    <w:sectPr w:rsidR="00505694">
      <w:pgSz w:w="15840" w:h="12240" w:orient="landscape"/>
      <w:pgMar w:top="114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06B6"/>
    <w:multiLevelType w:val="hybridMultilevel"/>
    <w:tmpl w:val="6B78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104F"/>
    <w:multiLevelType w:val="hybridMultilevel"/>
    <w:tmpl w:val="AFFE30D6"/>
    <w:lvl w:ilvl="0" w:tplc="C942683A">
      <w:numFmt w:val="bullet"/>
      <w:lvlText w:val=""/>
      <w:lvlJc w:val="left"/>
      <w:pPr>
        <w:ind w:left="2980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D1AB7D0">
      <w:numFmt w:val="bullet"/>
      <w:lvlText w:val="•"/>
      <w:lvlJc w:val="left"/>
      <w:pPr>
        <w:ind w:left="4022" w:hanging="269"/>
      </w:pPr>
      <w:rPr>
        <w:rFonts w:hint="default"/>
      </w:rPr>
    </w:lvl>
    <w:lvl w:ilvl="2" w:tplc="3BA8FDB6">
      <w:numFmt w:val="bullet"/>
      <w:lvlText w:val="•"/>
      <w:lvlJc w:val="left"/>
      <w:pPr>
        <w:ind w:left="5064" w:hanging="269"/>
      </w:pPr>
      <w:rPr>
        <w:rFonts w:hint="default"/>
      </w:rPr>
    </w:lvl>
    <w:lvl w:ilvl="3" w:tplc="D8B40A4E">
      <w:numFmt w:val="bullet"/>
      <w:lvlText w:val="•"/>
      <w:lvlJc w:val="left"/>
      <w:pPr>
        <w:ind w:left="6106" w:hanging="269"/>
      </w:pPr>
      <w:rPr>
        <w:rFonts w:hint="default"/>
      </w:rPr>
    </w:lvl>
    <w:lvl w:ilvl="4" w:tplc="C03EB150">
      <w:numFmt w:val="bullet"/>
      <w:lvlText w:val="•"/>
      <w:lvlJc w:val="left"/>
      <w:pPr>
        <w:ind w:left="7148" w:hanging="269"/>
      </w:pPr>
      <w:rPr>
        <w:rFonts w:hint="default"/>
      </w:rPr>
    </w:lvl>
    <w:lvl w:ilvl="5" w:tplc="E3606FD6">
      <w:numFmt w:val="bullet"/>
      <w:lvlText w:val="•"/>
      <w:lvlJc w:val="left"/>
      <w:pPr>
        <w:ind w:left="8190" w:hanging="269"/>
      </w:pPr>
      <w:rPr>
        <w:rFonts w:hint="default"/>
      </w:rPr>
    </w:lvl>
    <w:lvl w:ilvl="6" w:tplc="D7964ADA">
      <w:numFmt w:val="bullet"/>
      <w:lvlText w:val="•"/>
      <w:lvlJc w:val="left"/>
      <w:pPr>
        <w:ind w:left="9232" w:hanging="269"/>
      </w:pPr>
      <w:rPr>
        <w:rFonts w:hint="default"/>
      </w:rPr>
    </w:lvl>
    <w:lvl w:ilvl="7" w:tplc="F41EEAF0">
      <w:numFmt w:val="bullet"/>
      <w:lvlText w:val="•"/>
      <w:lvlJc w:val="left"/>
      <w:pPr>
        <w:ind w:left="10274" w:hanging="269"/>
      </w:pPr>
      <w:rPr>
        <w:rFonts w:hint="default"/>
      </w:rPr>
    </w:lvl>
    <w:lvl w:ilvl="8" w:tplc="A8E4AEC4">
      <w:numFmt w:val="bullet"/>
      <w:lvlText w:val="•"/>
      <w:lvlJc w:val="left"/>
      <w:pPr>
        <w:ind w:left="11316" w:hanging="269"/>
      </w:pPr>
      <w:rPr>
        <w:rFonts w:hint="default"/>
      </w:rPr>
    </w:lvl>
  </w:abstractNum>
  <w:abstractNum w:abstractNumId="2">
    <w:nsid w:val="74EF4C8F"/>
    <w:multiLevelType w:val="hybridMultilevel"/>
    <w:tmpl w:val="B3DC8CD2"/>
    <w:lvl w:ilvl="0" w:tplc="E2B4AA98">
      <w:start w:val="1"/>
      <w:numFmt w:val="decimal"/>
      <w:lvlText w:val="%1-"/>
      <w:lvlJc w:val="left"/>
      <w:pPr>
        <w:ind w:left="460" w:hanging="360"/>
      </w:pPr>
      <w:rPr>
        <w:rFonts w:ascii="Cambria" w:eastAsia="Cambria" w:hAnsi="Cambria" w:cs="Cambria" w:hint="default"/>
        <w:spacing w:val="-11"/>
        <w:w w:val="100"/>
        <w:sz w:val="24"/>
        <w:szCs w:val="24"/>
      </w:rPr>
    </w:lvl>
    <w:lvl w:ilvl="1" w:tplc="2152877A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FBACC0B8">
      <w:numFmt w:val="bullet"/>
      <w:lvlText w:val="•"/>
      <w:lvlJc w:val="left"/>
      <w:pPr>
        <w:ind w:left="3276" w:hanging="360"/>
      </w:pPr>
      <w:rPr>
        <w:rFonts w:hint="default"/>
      </w:rPr>
    </w:lvl>
    <w:lvl w:ilvl="3" w:tplc="D9AE9CAA"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9BE884DE">
      <w:numFmt w:val="bullet"/>
      <w:lvlText w:val="•"/>
      <w:lvlJc w:val="left"/>
      <w:pPr>
        <w:ind w:left="6092" w:hanging="360"/>
      </w:pPr>
      <w:rPr>
        <w:rFonts w:hint="default"/>
      </w:rPr>
    </w:lvl>
    <w:lvl w:ilvl="5" w:tplc="9A183688">
      <w:numFmt w:val="bullet"/>
      <w:lvlText w:val="•"/>
      <w:lvlJc w:val="left"/>
      <w:pPr>
        <w:ind w:left="7500" w:hanging="360"/>
      </w:pPr>
      <w:rPr>
        <w:rFonts w:hint="default"/>
      </w:rPr>
    </w:lvl>
    <w:lvl w:ilvl="6" w:tplc="7A00CB46">
      <w:numFmt w:val="bullet"/>
      <w:lvlText w:val="•"/>
      <w:lvlJc w:val="left"/>
      <w:pPr>
        <w:ind w:left="8908" w:hanging="360"/>
      </w:pPr>
      <w:rPr>
        <w:rFonts w:hint="default"/>
      </w:rPr>
    </w:lvl>
    <w:lvl w:ilvl="7" w:tplc="AFF6063A">
      <w:numFmt w:val="bullet"/>
      <w:lvlText w:val="•"/>
      <w:lvlJc w:val="left"/>
      <w:pPr>
        <w:ind w:left="10316" w:hanging="360"/>
      </w:pPr>
      <w:rPr>
        <w:rFonts w:hint="default"/>
      </w:rPr>
    </w:lvl>
    <w:lvl w:ilvl="8" w:tplc="25186E3C">
      <w:numFmt w:val="bullet"/>
      <w:lvlText w:val="•"/>
      <w:lvlJc w:val="left"/>
      <w:pPr>
        <w:ind w:left="117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94"/>
    <w:rsid w:val="00023A58"/>
    <w:rsid w:val="00124222"/>
    <w:rsid w:val="001D0E38"/>
    <w:rsid w:val="00242546"/>
    <w:rsid w:val="00460920"/>
    <w:rsid w:val="00505694"/>
    <w:rsid w:val="005403E7"/>
    <w:rsid w:val="005B1A23"/>
    <w:rsid w:val="00643F9A"/>
    <w:rsid w:val="006621E1"/>
    <w:rsid w:val="006811D2"/>
    <w:rsid w:val="006A3C51"/>
    <w:rsid w:val="00724CFE"/>
    <w:rsid w:val="007A2C84"/>
    <w:rsid w:val="007C1FF0"/>
    <w:rsid w:val="00830340"/>
    <w:rsid w:val="008611A8"/>
    <w:rsid w:val="009129E7"/>
    <w:rsid w:val="00970FD7"/>
    <w:rsid w:val="00B100D2"/>
    <w:rsid w:val="00B35302"/>
    <w:rsid w:val="00B8704D"/>
    <w:rsid w:val="00D66F6A"/>
    <w:rsid w:val="00D74E4F"/>
    <w:rsid w:val="00F503A1"/>
    <w:rsid w:val="00F511C1"/>
    <w:rsid w:val="00F76E08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E6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187" w:right="513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269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83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40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40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40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187" w:right="513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269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83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40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40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4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B31EEC757C64283B80C86B1E0CB2B" ma:contentTypeVersion="6" ma:contentTypeDescription="Create a new document." ma:contentTypeScope="" ma:versionID="3b8a0dad4d506c1d3575d69f7d1f3c81">
  <xsd:schema xmlns:xsd="http://www.w3.org/2001/XMLSchema" xmlns:xs="http://www.w3.org/2001/XMLSchema" xmlns:p="http://schemas.microsoft.com/office/2006/metadata/properties" xmlns:ns2="4b092690-c9a7-4ce0-882f-08b892d19ed7" xmlns:ns3="db8fa892-0506-420b-ad3b-677556b71d2e" targetNamespace="http://schemas.microsoft.com/office/2006/metadata/properties" ma:root="true" ma:fieldsID="d3d24d69c7c314e5f483f39154086dc1" ns2:_="" ns3:_="">
    <xsd:import namespace="4b092690-c9a7-4ce0-882f-08b892d19ed7"/>
    <xsd:import namespace="db8fa892-0506-420b-ad3b-677556b7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690-c9a7-4ce0-882f-08b892d19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a892-0506-420b-ad3b-677556b7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409AA-3534-48FF-BD12-200E9BB48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92690-c9a7-4ce0-882f-08b892d19ed7"/>
    <ds:schemaRef ds:uri="db8fa892-0506-420b-ad3b-677556b7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B3004-ABDA-41BF-9289-EC6931395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42125-A83F-46FB-899F-D3DCFCB1A036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4b092690-c9a7-4ce0-882f-08b892d19ed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b8fa892-0506-420b-ad3b-677556b71d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Barrington</dc:creator>
  <cp:lastModifiedBy>Heather</cp:lastModifiedBy>
  <cp:revision>3</cp:revision>
  <dcterms:created xsi:type="dcterms:W3CDTF">2020-04-10T15:11:00Z</dcterms:created>
  <dcterms:modified xsi:type="dcterms:W3CDTF">2020-07-01T20:39:00Z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2017-03-10T00:00:00Z</vt:filetime>
  </property>
  <property fmtid="{D5CDD505-2E9C-101B-9397-08002B2CF9AE}" pid="5" name="ContentTypeId">
    <vt:lpwstr>0x01010000CB31EEC757C64283B80C86B1E0CB2B</vt:lpwstr>
  </property>
</Properties>
</file>