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52EB7" w14:textId="16BFB5C9" w:rsidR="00473DA4" w:rsidRDefault="4CF74205" w:rsidP="4CF74205">
      <w:pPr>
        <w:pStyle w:val="Title"/>
      </w:pPr>
      <w:bookmarkStart w:id="0" w:name="_GoBack"/>
      <w:bookmarkEnd w:id="0"/>
      <w:r>
        <w:t>IIT Assessment Report, Summer 2019</w:t>
      </w:r>
    </w:p>
    <w:p w14:paraId="730E1FE8" w14:textId="77777777" w:rsidR="00DA403C" w:rsidRPr="00393B8A" w:rsidRDefault="00C9362F" w:rsidP="00DA403C">
      <w:pPr>
        <w:rPr>
          <w:sz w:val="24"/>
          <w:szCs w:val="24"/>
        </w:rPr>
      </w:pPr>
      <w:r w:rsidRPr="00393B8A">
        <w:rPr>
          <w:sz w:val="24"/>
          <w:szCs w:val="24"/>
        </w:rPr>
        <w:t xml:space="preserve">Prepared by Heather </w:t>
      </w:r>
      <w:proofErr w:type="spellStart"/>
      <w:r w:rsidRPr="00393B8A">
        <w:rPr>
          <w:sz w:val="24"/>
          <w:szCs w:val="24"/>
        </w:rPr>
        <w:t>Gillanders</w:t>
      </w:r>
      <w:proofErr w:type="spellEnd"/>
      <w:r w:rsidRPr="00393B8A">
        <w:rPr>
          <w:sz w:val="24"/>
          <w:szCs w:val="24"/>
        </w:rPr>
        <w:t xml:space="preserve">, CLAC co-chair, Corinne Jarvis, CLAC co-chair, </w:t>
      </w:r>
      <w:proofErr w:type="spellStart"/>
      <w:r w:rsidRPr="00393B8A">
        <w:rPr>
          <w:sz w:val="24"/>
          <w:szCs w:val="24"/>
        </w:rPr>
        <w:t>Amunoo</w:t>
      </w:r>
      <w:proofErr w:type="spellEnd"/>
      <w:r w:rsidRPr="00393B8A">
        <w:rPr>
          <w:sz w:val="24"/>
          <w:szCs w:val="24"/>
        </w:rPr>
        <w:t xml:space="preserve"> </w:t>
      </w:r>
      <w:proofErr w:type="spellStart"/>
      <w:r w:rsidRPr="00393B8A">
        <w:rPr>
          <w:sz w:val="24"/>
          <w:szCs w:val="24"/>
        </w:rPr>
        <w:t>Tembo</w:t>
      </w:r>
      <w:proofErr w:type="spellEnd"/>
      <w:r w:rsidRPr="00393B8A">
        <w:rPr>
          <w:sz w:val="24"/>
          <w:szCs w:val="24"/>
        </w:rPr>
        <w:t xml:space="preserve">, </w:t>
      </w:r>
      <w:r w:rsidR="001B3DEB" w:rsidRPr="00393B8A">
        <w:rPr>
          <w:sz w:val="24"/>
          <w:szCs w:val="24"/>
        </w:rPr>
        <w:t>and Gavin Albright</w:t>
      </w:r>
    </w:p>
    <w:p w14:paraId="7FEB0A07" w14:textId="77777777" w:rsidR="00DA403C" w:rsidRDefault="00DA403C" w:rsidP="00C10969">
      <w:pPr>
        <w:pStyle w:val="Heading1"/>
      </w:pPr>
      <w:r>
        <w:t>Introduction</w:t>
      </w:r>
    </w:p>
    <w:p w14:paraId="34B3C886" w14:textId="307F89CA" w:rsidR="005957EE" w:rsidRPr="00393B8A" w:rsidRDefault="005957EE" w:rsidP="005957EE">
      <w:pPr>
        <w:rPr>
          <w:sz w:val="24"/>
          <w:szCs w:val="24"/>
        </w:rPr>
      </w:pPr>
      <w:r w:rsidRPr="00393B8A">
        <w:rPr>
          <w:sz w:val="24"/>
          <w:szCs w:val="24"/>
        </w:rPr>
        <w:t xml:space="preserve">In the 2016-17 academic year, TCC conducted a meta-assessment of all instructional assessment processes and procedures. In addition, TCC had its mid-cycle accreditation visit, which was focused on instructional assessment. One outcome of both was the revision of TCC’s degree learning outcomes (DLOs), which was led by the Student Learning Improvement Council (SLIC). </w:t>
      </w:r>
      <w:r w:rsidR="00E43157">
        <w:rPr>
          <w:sz w:val="24"/>
          <w:szCs w:val="24"/>
        </w:rPr>
        <w:t>T</w:t>
      </w:r>
      <w:r w:rsidRPr="00393B8A">
        <w:rPr>
          <w:sz w:val="24"/>
          <w:szCs w:val="24"/>
        </w:rPr>
        <w:t xml:space="preserve">he mid-cycle accreditation team recommended a consistent </w:t>
      </w:r>
      <w:r w:rsidR="00E43157">
        <w:rPr>
          <w:sz w:val="24"/>
          <w:szCs w:val="24"/>
        </w:rPr>
        <w:t xml:space="preserve">methodology for DLO assessment. It </w:t>
      </w:r>
      <w:r w:rsidRPr="00393B8A">
        <w:rPr>
          <w:sz w:val="24"/>
          <w:szCs w:val="24"/>
        </w:rPr>
        <w:t xml:space="preserve">was therefore decided to use rubrics to evaluate student work that measures each DLO going forward, and for the SLIC committee to lead these efforts. These changes were reviewed by Instructional Council (IC) and subsequently approved in February 2017. </w:t>
      </w:r>
    </w:p>
    <w:p w14:paraId="7020804A" w14:textId="07D0CD46" w:rsidR="005957EE" w:rsidRPr="00393B8A" w:rsidRDefault="788BFFD4" w:rsidP="005957EE">
      <w:pPr>
        <w:rPr>
          <w:sz w:val="24"/>
          <w:szCs w:val="24"/>
        </w:rPr>
      </w:pPr>
      <w:r w:rsidRPr="00393B8A">
        <w:rPr>
          <w:sz w:val="24"/>
          <w:szCs w:val="24"/>
        </w:rPr>
        <w:t>The SLIC committee then changed its name to the College-wide Learning Assessment Committee (CLAC) and revised its mission statement to more accurately reflect its focus on leading DLO assessment. The mission statement reads:</w:t>
      </w:r>
    </w:p>
    <w:p w14:paraId="29E6985C" w14:textId="77777777" w:rsidR="005957EE" w:rsidRPr="00393B8A" w:rsidRDefault="005957EE" w:rsidP="005957EE">
      <w:pPr>
        <w:ind w:left="720"/>
        <w:rPr>
          <w:i/>
          <w:sz w:val="24"/>
          <w:szCs w:val="24"/>
        </w:rPr>
      </w:pPr>
      <w:r w:rsidRPr="00393B8A">
        <w:rPr>
          <w:i/>
          <w:sz w:val="24"/>
          <w:szCs w:val="24"/>
        </w:rPr>
        <w:t>Supporting Tacoma Community College’s Create Learning core theme through the planning and coordination of institution-wide assessment, including but not limited to student achievement of degree learning outcomes.</w:t>
      </w:r>
    </w:p>
    <w:p w14:paraId="70C4E975" w14:textId="77777777" w:rsidR="00D97440" w:rsidRPr="00393B8A" w:rsidRDefault="00D97440" w:rsidP="00DA403C">
      <w:pPr>
        <w:rPr>
          <w:sz w:val="24"/>
          <w:szCs w:val="24"/>
        </w:rPr>
      </w:pPr>
      <w:r w:rsidRPr="00393B8A">
        <w:rPr>
          <w:sz w:val="24"/>
          <w:szCs w:val="24"/>
        </w:rPr>
        <w:t xml:space="preserve">This report is for the </w:t>
      </w:r>
      <w:r w:rsidR="00E45C8E" w:rsidRPr="00393B8A">
        <w:rPr>
          <w:sz w:val="24"/>
          <w:szCs w:val="24"/>
        </w:rPr>
        <w:t>Information &amp; Information Technology</w:t>
      </w:r>
      <w:r w:rsidRPr="00393B8A">
        <w:rPr>
          <w:sz w:val="24"/>
          <w:szCs w:val="24"/>
        </w:rPr>
        <w:t xml:space="preserve"> (</w:t>
      </w:r>
      <w:r w:rsidR="00E45C8E" w:rsidRPr="00393B8A">
        <w:rPr>
          <w:sz w:val="24"/>
          <w:szCs w:val="24"/>
        </w:rPr>
        <w:t>IIT</w:t>
      </w:r>
      <w:r w:rsidRPr="00393B8A">
        <w:rPr>
          <w:sz w:val="24"/>
          <w:szCs w:val="24"/>
        </w:rPr>
        <w:t>) DLO, which reads:</w:t>
      </w:r>
    </w:p>
    <w:p w14:paraId="4D3D31C0" w14:textId="77777777" w:rsidR="00D97440" w:rsidRPr="00393B8A" w:rsidRDefault="00E45C8E" w:rsidP="00E45C8E">
      <w:pPr>
        <w:ind w:left="720"/>
        <w:rPr>
          <w:i/>
          <w:sz w:val="24"/>
          <w:szCs w:val="24"/>
        </w:rPr>
      </w:pPr>
      <w:r w:rsidRPr="00393B8A">
        <w:rPr>
          <w:i/>
          <w:sz w:val="24"/>
          <w:szCs w:val="24"/>
        </w:rPr>
        <w:t>Locate, evaluate, retrieve, and ethically use relevant and current information of appropriate authority for academic or, as applicable, specific professional/technical applications.</w:t>
      </w:r>
    </w:p>
    <w:p w14:paraId="3DE23098" w14:textId="777B39DE" w:rsidR="008B3F2E" w:rsidRPr="00393B8A" w:rsidRDefault="005957EE" w:rsidP="005957EE">
      <w:pPr>
        <w:rPr>
          <w:sz w:val="24"/>
          <w:szCs w:val="24"/>
        </w:rPr>
      </w:pPr>
      <w:r w:rsidRPr="00393B8A">
        <w:rPr>
          <w:sz w:val="24"/>
          <w:szCs w:val="24"/>
        </w:rPr>
        <w:t xml:space="preserve">The verbiage of this </w:t>
      </w:r>
      <w:r w:rsidR="008B3F2E" w:rsidRPr="00393B8A">
        <w:rPr>
          <w:sz w:val="24"/>
          <w:szCs w:val="24"/>
        </w:rPr>
        <w:t>DLO previously read:</w:t>
      </w:r>
    </w:p>
    <w:p w14:paraId="2A839577" w14:textId="1509C01D" w:rsidR="008B3F2E" w:rsidRPr="00393B8A" w:rsidRDefault="008B3F2E" w:rsidP="008B3F2E">
      <w:pPr>
        <w:ind w:left="720"/>
        <w:rPr>
          <w:i/>
          <w:sz w:val="24"/>
          <w:szCs w:val="24"/>
        </w:rPr>
      </w:pPr>
      <w:r w:rsidRPr="00393B8A">
        <w:rPr>
          <w:i/>
          <w:sz w:val="24"/>
          <w:szCs w:val="24"/>
        </w:rPr>
        <w:t>Locate, evaluate, retrieve, and ethically use relevant and current information of appropriate authority for both academic and personal applications.</w:t>
      </w:r>
    </w:p>
    <w:p w14:paraId="73837349" w14:textId="794445A5" w:rsidR="005957EE" w:rsidRPr="00AA25AA" w:rsidRDefault="005957EE" w:rsidP="005957EE">
      <w:r>
        <w:t>It was last assessed in 2011-12 by gathering student work and evaluating it using a rubric.</w:t>
      </w:r>
    </w:p>
    <w:p w14:paraId="0B8446F5" w14:textId="77777777" w:rsidR="00DA403C" w:rsidRDefault="00DA403C" w:rsidP="00C26736">
      <w:pPr>
        <w:pStyle w:val="Heading1"/>
      </w:pPr>
      <w:r>
        <w:t>Method</w:t>
      </w:r>
    </w:p>
    <w:p w14:paraId="6CA2DCF9" w14:textId="02E610B3" w:rsidR="00C10969" w:rsidRPr="00393B8A" w:rsidRDefault="6BE44042" w:rsidP="6BE44042">
      <w:pPr>
        <w:rPr>
          <w:sz w:val="24"/>
          <w:szCs w:val="24"/>
        </w:rPr>
      </w:pPr>
      <w:r w:rsidRPr="6BE44042">
        <w:rPr>
          <w:sz w:val="24"/>
          <w:szCs w:val="24"/>
        </w:rPr>
        <w:t>Faculty representing all divisions scored student artifacts using a rubric. Artifacts came from the following divisions: Communications and Transitional Studies; Arts, Humanities, and Social Sciences; Math, Science, and Engineering; and Health, Business, and Professional Services. A total of 359 individual artifacts from 22 classes are included.</w:t>
      </w:r>
    </w:p>
    <w:p w14:paraId="3F043099" w14:textId="32FE30DD" w:rsidR="00C10969" w:rsidRPr="00393B8A" w:rsidRDefault="4B754074" w:rsidP="4B754074">
      <w:pPr>
        <w:rPr>
          <w:sz w:val="24"/>
          <w:szCs w:val="24"/>
        </w:rPr>
      </w:pPr>
      <w:r w:rsidRPr="4B754074">
        <w:rPr>
          <w:sz w:val="24"/>
          <w:szCs w:val="24"/>
        </w:rPr>
        <w:t>The rubric was adapted with permission from South Seattle College to fit the language of Tacoma Community College’s IIT DLO</w:t>
      </w:r>
      <w:r w:rsidRPr="4B754074">
        <w:rPr>
          <w:rFonts w:ascii="Calibri" w:eastAsia="Calibri" w:hAnsi="Calibri" w:cs="Calibri"/>
          <w:sz w:val="24"/>
          <w:szCs w:val="24"/>
        </w:rPr>
        <w:t>; the TCC rubric used in 2011-12 to assess this outcome was also consulted</w:t>
      </w:r>
      <w:r w:rsidRPr="4B754074">
        <w:rPr>
          <w:sz w:val="24"/>
          <w:szCs w:val="24"/>
        </w:rPr>
        <w:t>. Members of the CLAC committee created the first draft, solicited feedback from faculty, and revised the rubrics based on faculty feedback to create the final draft:</w:t>
      </w:r>
    </w:p>
    <w:p w14:paraId="1EC9260A" w14:textId="77777777" w:rsidR="00701B35" w:rsidRDefault="00E45C8E" w:rsidP="00332033">
      <w:pPr>
        <w:ind w:left="-180"/>
      </w:pPr>
      <w:r>
        <w:rPr>
          <w:noProof/>
        </w:rPr>
        <w:lastRenderedPageBreak/>
        <w:drawing>
          <wp:inline distT="0" distB="0" distL="0" distR="0" wp14:anchorId="32560E93" wp14:editId="2A79F1C6">
            <wp:extent cx="6998677" cy="4345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IT_rubric_image.png"/>
                    <pic:cNvPicPr/>
                  </pic:nvPicPr>
                  <pic:blipFill>
                    <a:blip r:embed="rId8">
                      <a:extLst>
                        <a:ext uri="{28A0092B-C50C-407E-A947-70E740481C1C}">
                          <a14:useLocalDpi xmlns:a14="http://schemas.microsoft.com/office/drawing/2010/main" val="0"/>
                        </a:ext>
                      </a:extLst>
                    </a:blip>
                    <a:stretch>
                      <a:fillRect/>
                    </a:stretch>
                  </pic:blipFill>
                  <pic:spPr>
                    <a:xfrm>
                      <a:off x="0" y="0"/>
                      <a:ext cx="7001755" cy="4347571"/>
                    </a:xfrm>
                    <a:prstGeom prst="rect">
                      <a:avLst/>
                    </a:prstGeom>
                  </pic:spPr>
                </pic:pic>
              </a:graphicData>
            </a:graphic>
          </wp:inline>
        </w:drawing>
      </w:r>
    </w:p>
    <w:p w14:paraId="25C519E9" w14:textId="77777777" w:rsidR="00F2426E" w:rsidRPr="00393B8A" w:rsidRDefault="00FD4FBA" w:rsidP="00DA403C">
      <w:pPr>
        <w:rPr>
          <w:sz w:val="24"/>
          <w:szCs w:val="24"/>
        </w:rPr>
      </w:pPr>
      <w:r w:rsidRPr="00393B8A">
        <w:rPr>
          <w:sz w:val="24"/>
          <w:szCs w:val="24"/>
        </w:rPr>
        <w:t xml:space="preserve">In collaboration with </w:t>
      </w:r>
      <w:proofErr w:type="gramStart"/>
      <w:r w:rsidRPr="00393B8A">
        <w:rPr>
          <w:sz w:val="24"/>
          <w:szCs w:val="24"/>
        </w:rPr>
        <w:t>e-L</w:t>
      </w:r>
      <w:r w:rsidR="00DC0C88" w:rsidRPr="00393B8A">
        <w:rPr>
          <w:sz w:val="24"/>
          <w:szCs w:val="24"/>
        </w:rPr>
        <w:t>earning</w:t>
      </w:r>
      <w:proofErr w:type="gramEnd"/>
      <w:r w:rsidRPr="00393B8A">
        <w:rPr>
          <w:sz w:val="24"/>
          <w:szCs w:val="24"/>
        </w:rPr>
        <w:t xml:space="preserve">, </w:t>
      </w:r>
      <w:r w:rsidR="00DD66DA" w:rsidRPr="00393B8A">
        <w:rPr>
          <w:sz w:val="24"/>
          <w:szCs w:val="24"/>
        </w:rPr>
        <w:t>a Canvas shell</w:t>
      </w:r>
      <w:r w:rsidRPr="00393B8A">
        <w:rPr>
          <w:sz w:val="24"/>
          <w:szCs w:val="24"/>
        </w:rPr>
        <w:t xml:space="preserve"> for </w:t>
      </w:r>
      <w:r w:rsidR="00DD66DA" w:rsidRPr="00393B8A">
        <w:rPr>
          <w:sz w:val="24"/>
          <w:szCs w:val="24"/>
        </w:rPr>
        <w:t xml:space="preserve">the </w:t>
      </w:r>
      <w:r w:rsidR="00E45C8E" w:rsidRPr="00393B8A">
        <w:rPr>
          <w:sz w:val="24"/>
          <w:szCs w:val="24"/>
        </w:rPr>
        <w:t>IIT</w:t>
      </w:r>
      <w:r w:rsidR="00DD66DA" w:rsidRPr="00393B8A">
        <w:rPr>
          <w:sz w:val="24"/>
          <w:szCs w:val="24"/>
        </w:rPr>
        <w:t xml:space="preserve"> </w:t>
      </w:r>
      <w:r w:rsidRPr="00393B8A">
        <w:rPr>
          <w:sz w:val="24"/>
          <w:szCs w:val="24"/>
        </w:rPr>
        <w:t>DLO w</w:t>
      </w:r>
      <w:r w:rsidR="00DD66DA" w:rsidRPr="00393B8A">
        <w:rPr>
          <w:sz w:val="24"/>
          <w:szCs w:val="24"/>
        </w:rPr>
        <w:t>as</w:t>
      </w:r>
      <w:r w:rsidRPr="00393B8A">
        <w:rPr>
          <w:sz w:val="24"/>
          <w:szCs w:val="24"/>
        </w:rPr>
        <w:t xml:space="preserve"> created and all artifacts were uploaded to </w:t>
      </w:r>
      <w:r w:rsidR="00DD66DA" w:rsidRPr="00393B8A">
        <w:rPr>
          <w:sz w:val="24"/>
          <w:szCs w:val="24"/>
        </w:rPr>
        <w:t xml:space="preserve">the </w:t>
      </w:r>
      <w:r w:rsidRPr="00393B8A">
        <w:rPr>
          <w:sz w:val="24"/>
          <w:szCs w:val="24"/>
        </w:rPr>
        <w:t xml:space="preserve">shell to be scored </w:t>
      </w:r>
      <w:r w:rsidR="00DD66DA" w:rsidRPr="00393B8A">
        <w:rPr>
          <w:sz w:val="24"/>
          <w:szCs w:val="24"/>
        </w:rPr>
        <w:t>using the rubric</w:t>
      </w:r>
      <w:r w:rsidRPr="00393B8A">
        <w:rPr>
          <w:sz w:val="24"/>
          <w:szCs w:val="24"/>
        </w:rPr>
        <w:t xml:space="preserve"> and to act as a repository of student work for potential future assessment projects. As much as possible, artifacts were </w:t>
      </w:r>
      <w:proofErr w:type="spellStart"/>
      <w:r w:rsidRPr="00393B8A">
        <w:rPr>
          <w:sz w:val="24"/>
          <w:szCs w:val="24"/>
        </w:rPr>
        <w:t>anonymized</w:t>
      </w:r>
      <w:proofErr w:type="spellEnd"/>
      <w:r w:rsidRPr="00393B8A">
        <w:rPr>
          <w:sz w:val="24"/>
          <w:szCs w:val="24"/>
        </w:rPr>
        <w:t xml:space="preserve">, removing student names and ID numbers. Only those faculty scoring artifacts, CLAC members, and </w:t>
      </w:r>
      <w:proofErr w:type="gramStart"/>
      <w:r w:rsidRPr="00393B8A">
        <w:rPr>
          <w:sz w:val="24"/>
          <w:szCs w:val="24"/>
        </w:rPr>
        <w:t>e-Learning</w:t>
      </w:r>
      <w:proofErr w:type="gramEnd"/>
      <w:r w:rsidRPr="00393B8A">
        <w:rPr>
          <w:sz w:val="24"/>
          <w:szCs w:val="24"/>
        </w:rPr>
        <w:t xml:space="preserve"> have access to these </w:t>
      </w:r>
      <w:r w:rsidR="002D4117" w:rsidRPr="00393B8A">
        <w:rPr>
          <w:sz w:val="24"/>
          <w:szCs w:val="24"/>
        </w:rPr>
        <w:t xml:space="preserve">Canvas </w:t>
      </w:r>
      <w:r w:rsidRPr="00393B8A">
        <w:rPr>
          <w:sz w:val="24"/>
          <w:szCs w:val="24"/>
        </w:rPr>
        <w:t>shells.</w:t>
      </w:r>
    </w:p>
    <w:p w14:paraId="157FD60A" w14:textId="77777777" w:rsidR="00C10969" w:rsidRPr="00393B8A" w:rsidRDefault="00F2426E" w:rsidP="00DA403C">
      <w:pPr>
        <w:rPr>
          <w:sz w:val="24"/>
          <w:szCs w:val="24"/>
        </w:rPr>
      </w:pPr>
      <w:r w:rsidRPr="00393B8A">
        <w:rPr>
          <w:sz w:val="24"/>
          <w:szCs w:val="24"/>
        </w:rPr>
        <w:t xml:space="preserve">All of the faculty who scored the artifacts </w:t>
      </w:r>
      <w:r w:rsidR="00DD66DA" w:rsidRPr="00393B8A">
        <w:rPr>
          <w:sz w:val="24"/>
          <w:szCs w:val="24"/>
        </w:rPr>
        <w:t xml:space="preserve">participated in a norming session </w:t>
      </w:r>
      <w:r w:rsidRPr="00393B8A">
        <w:rPr>
          <w:sz w:val="24"/>
          <w:szCs w:val="24"/>
        </w:rPr>
        <w:t xml:space="preserve">prior to receiving their assignments </w:t>
      </w:r>
      <w:r w:rsidR="00DD66DA" w:rsidRPr="00393B8A">
        <w:rPr>
          <w:sz w:val="24"/>
          <w:szCs w:val="24"/>
        </w:rPr>
        <w:t xml:space="preserve">to ensure that the criteria was clear and </w:t>
      </w:r>
      <w:r w:rsidRPr="00393B8A">
        <w:rPr>
          <w:sz w:val="24"/>
          <w:szCs w:val="24"/>
        </w:rPr>
        <w:t>that all were applying the rubric in roughly the same way.</w:t>
      </w:r>
      <w:r w:rsidR="00AB1B44" w:rsidRPr="00393B8A">
        <w:rPr>
          <w:sz w:val="24"/>
          <w:szCs w:val="24"/>
        </w:rPr>
        <w:t xml:space="preserve"> Scores for each criterion for every artifact were transferred into an Excel spreadsheet and analyzed.</w:t>
      </w:r>
    </w:p>
    <w:p w14:paraId="644301AA" w14:textId="77777777" w:rsidR="009F780E" w:rsidRDefault="00DA403C" w:rsidP="00C46B9C">
      <w:pPr>
        <w:pStyle w:val="Heading1"/>
      </w:pPr>
      <w:r>
        <w:t>Results</w:t>
      </w:r>
    </w:p>
    <w:p w14:paraId="79A3D442" w14:textId="176EBC3F" w:rsidR="009F780E" w:rsidRPr="00393B8A" w:rsidRDefault="00C46B9C" w:rsidP="00DA403C">
      <w:pPr>
        <w:rPr>
          <w:sz w:val="24"/>
          <w:szCs w:val="24"/>
        </w:rPr>
      </w:pPr>
      <w:r w:rsidRPr="00393B8A">
        <w:rPr>
          <w:sz w:val="24"/>
          <w:szCs w:val="24"/>
        </w:rPr>
        <w:t>On a scale of 1 to 4, where 1 is the lowest and 4 the highest, the average score for all criteria was 3.1</w:t>
      </w:r>
      <w:r w:rsidR="000E364C" w:rsidRPr="00393B8A">
        <w:rPr>
          <w:sz w:val="24"/>
          <w:szCs w:val="24"/>
        </w:rPr>
        <w:t>7</w:t>
      </w:r>
      <w:r w:rsidR="00620E16" w:rsidRPr="00393B8A">
        <w:rPr>
          <w:sz w:val="24"/>
          <w:szCs w:val="24"/>
        </w:rPr>
        <w:t>. The highest score was for the relevance criterion at 3.</w:t>
      </w:r>
      <w:r w:rsidR="00584A13" w:rsidRPr="00393B8A">
        <w:rPr>
          <w:sz w:val="24"/>
          <w:szCs w:val="24"/>
        </w:rPr>
        <w:t>35, followed by currency at 3.34, then authority at 3.17, and finally</w:t>
      </w:r>
      <w:r w:rsidRPr="00393B8A">
        <w:rPr>
          <w:sz w:val="24"/>
          <w:szCs w:val="24"/>
        </w:rPr>
        <w:t xml:space="preserve"> </w:t>
      </w:r>
      <w:r w:rsidR="0092688A" w:rsidRPr="00393B8A">
        <w:rPr>
          <w:sz w:val="24"/>
          <w:szCs w:val="24"/>
        </w:rPr>
        <w:t>ethical use</w:t>
      </w:r>
      <w:r w:rsidRPr="00393B8A">
        <w:rPr>
          <w:sz w:val="24"/>
          <w:szCs w:val="24"/>
        </w:rPr>
        <w:t xml:space="preserve"> at </w:t>
      </w:r>
      <w:r w:rsidR="0092688A" w:rsidRPr="00393B8A">
        <w:rPr>
          <w:sz w:val="24"/>
          <w:szCs w:val="24"/>
        </w:rPr>
        <w:t>2.</w:t>
      </w:r>
      <w:r w:rsidR="00584A13" w:rsidRPr="00393B8A">
        <w:rPr>
          <w:sz w:val="24"/>
          <w:szCs w:val="24"/>
        </w:rPr>
        <w:t>84</w:t>
      </w:r>
      <w:r w:rsidRPr="00393B8A">
        <w:rPr>
          <w:sz w:val="24"/>
          <w:szCs w:val="24"/>
        </w:rPr>
        <w:t xml:space="preserve">. </w:t>
      </w:r>
      <w:r w:rsidR="00620E16" w:rsidRPr="00393B8A">
        <w:rPr>
          <w:sz w:val="24"/>
          <w:szCs w:val="24"/>
        </w:rPr>
        <w:t>That places students between the competent and accomplished levels for all criteria, except ethical use, which is between the developing and competent levels.</w:t>
      </w:r>
    </w:p>
    <w:p w14:paraId="1D12F1B2" w14:textId="0B592756" w:rsidR="00C46B9C" w:rsidRDefault="000E364C" w:rsidP="00332033">
      <w:pPr>
        <w:ind w:left="90"/>
      </w:pPr>
      <w:r>
        <w:rPr>
          <w:noProof/>
        </w:rPr>
        <w:lastRenderedPageBreak/>
        <w:drawing>
          <wp:inline distT="0" distB="0" distL="0" distR="0" wp14:anchorId="7646CB28" wp14:editId="7E3066E8">
            <wp:extent cx="6724650" cy="3038475"/>
            <wp:effectExtent l="0" t="0" r="0" b="9525"/>
            <wp:docPr id="1" name="Chart 1" title="Chart">
              <a:extLst xmlns:a="http://schemas.openxmlformats.org/drawingml/2006/main">
                <a:ext uri="{FF2B5EF4-FFF2-40B4-BE49-F238E27FC236}">
                  <a16:creationId xmlns:a16="http://schemas.microsoft.com/office/drawing/2014/main" xmlns:c="http://schemas.openxmlformats.org/drawingml/2006/chart" xmlns:a14="http://schemas.microsoft.com/office/drawing/2010/main" xmlns:pic="http://schemas.openxmlformats.org/drawingml/2006/picture"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CF0E1B" w14:textId="77777777" w:rsidR="008A6DCD" w:rsidRDefault="008A6DCD" w:rsidP="008A6DCD">
      <w:pPr>
        <w:pStyle w:val="paragraph"/>
        <w:textAlignment w:val="baseline"/>
        <w:rPr>
          <w:rFonts w:cs="Times New Roman"/>
          <w:color w:val="365F91"/>
        </w:rPr>
      </w:pPr>
      <w:r>
        <w:rPr>
          <w:rStyle w:val="normaltextrun"/>
          <w:rFonts w:ascii="Cambria" w:hAnsi="Cambria" w:cs="Times New Roman"/>
          <w:color w:val="365F91"/>
          <w:sz w:val="26"/>
          <w:szCs w:val="26"/>
        </w:rPr>
        <w:t>Celebration of Learning</w:t>
      </w:r>
      <w:r>
        <w:rPr>
          <w:rStyle w:val="eop"/>
          <w:rFonts w:ascii="Cambria" w:hAnsi="Cambria" w:cs="Times New Roman"/>
          <w:color w:val="365F91"/>
          <w:sz w:val="26"/>
          <w:szCs w:val="26"/>
        </w:rPr>
        <w:t> </w:t>
      </w:r>
    </w:p>
    <w:p w14:paraId="745D16D8" w14:textId="1BE52B4F" w:rsidR="008A6DCD" w:rsidRPr="00393B8A" w:rsidRDefault="38A64F5D" w:rsidP="38A64F5D">
      <w:pPr>
        <w:pStyle w:val="paragraph"/>
        <w:textAlignment w:val="baseline"/>
        <w:rPr>
          <w:rStyle w:val="eop"/>
          <w:rFonts w:ascii="Calibri" w:hAnsi="Calibri" w:cs="Times New Roman"/>
          <w:sz w:val="24"/>
          <w:szCs w:val="24"/>
        </w:rPr>
      </w:pPr>
      <w:r w:rsidRPr="38A64F5D">
        <w:rPr>
          <w:rStyle w:val="normaltextrun"/>
          <w:rFonts w:ascii="Calibri" w:hAnsi="Calibri" w:cs="Times New Roman"/>
          <w:sz w:val="24"/>
          <w:szCs w:val="24"/>
        </w:rPr>
        <w:t xml:space="preserve">A total of 33 artifacts from the Celebration of Learning were included in the sample. </w:t>
      </w:r>
      <w:r w:rsidRPr="38A64F5D">
        <w:rPr>
          <w:rFonts w:ascii="Calibri" w:hAnsi="Calibri" w:cs="Times New Roman"/>
          <w:sz w:val="24"/>
          <w:szCs w:val="24"/>
        </w:rPr>
        <w:t>The results of analyzing the Celebration of Learning artifacts only showed a higher average for each criterion when compared to the a</w:t>
      </w:r>
      <w:r w:rsidRPr="38A64F5D">
        <w:rPr>
          <w:rStyle w:val="normaltextrun"/>
          <w:rFonts w:ascii="Calibri" w:hAnsi="Calibri" w:cs="Times New Roman"/>
          <w:sz w:val="24"/>
          <w:szCs w:val="24"/>
        </w:rPr>
        <w:t>verages for all artifacts combined. The highest average score was for currency at 3.64, followed by relevance at 3.61, then authority at 3.45, and finally ethical use at 3.39.</w:t>
      </w:r>
      <w:r w:rsidRPr="38A64F5D">
        <w:rPr>
          <w:rStyle w:val="eop"/>
          <w:rFonts w:ascii="Calibri" w:hAnsi="Calibri" w:cs="Times New Roman"/>
          <w:sz w:val="24"/>
          <w:szCs w:val="24"/>
        </w:rPr>
        <w:t> </w:t>
      </w:r>
    </w:p>
    <w:p w14:paraId="59638488" w14:textId="77777777" w:rsidR="00DF626F" w:rsidRDefault="00EA46C3" w:rsidP="008A6DCD">
      <w:pPr>
        <w:pStyle w:val="paragraph"/>
        <w:textAlignment w:val="baseline"/>
        <w:rPr>
          <w:rStyle w:val="normaltextrun"/>
          <w:rFonts w:ascii="Calibri" w:hAnsi="Calibri" w:cs="Times New Roman"/>
          <w:sz w:val="22"/>
          <w:szCs w:val="22"/>
        </w:rPr>
      </w:pPr>
      <w:r>
        <w:rPr>
          <w:noProof/>
        </w:rPr>
        <w:drawing>
          <wp:inline distT="0" distB="0" distL="0" distR="0" wp14:anchorId="2416AD5C" wp14:editId="5E870C9E">
            <wp:extent cx="6915150" cy="3227070"/>
            <wp:effectExtent l="0" t="0" r="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579656" w14:textId="0F6CBB8B" w:rsidR="008A6DCD" w:rsidRPr="00393B8A" w:rsidRDefault="008A6DCD" w:rsidP="008A6DCD">
      <w:pPr>
        <w:pStyle w:val="paragraph"/>
        <w:textAlignment w:val="baseline"/>
        <w:rPr>
          <w:rFonts w:cs="Times New Roman"/>
          <w:sz w:val="24"/>
          <w:szCs w:val="24"/>
        </w:rPr>
      </w:pPr>
      <w:r w:rsidRPr="00393B8A">
        <w:rPr>
          <w:rStyle w:val="normaltextrun"/>
          <w:rFonts w:ascii="Calibri" w:hAnsi="Calibri" w:cs="Times New Roman"/>
          <w:sz w:val="24"/>
          <w:szCs w:val="24"/>
        </w:rPr>
        <w:t>When Celebration of Learning artifacts are removed, the average for all criteria for the remaining</w:t>
      </w:r>
      <w:r w:rsidR="00F061E1" w:rsidRPr="00393B8A">
        <w:rPr>
          <w:rStyle w:val="normaltextrun"/>
          <w:rFonts w:ascii="Calibri" w:hAnsi="Calibri" w:cs="Times New Roman"/>
          <w:sz w:val="24"/>
          <w:szCs w:val="24"/>
        </w:rPr>
        <w:t xml:space="preserve"> 326</w:t>
      </w:r>
      <w:r w:rsidRPr="00393B8A">
        <w:rPr>
          <w:rStyle w:val="normaltextrun"/>
          <w:rFonts w:ascii="Calibri" w:hAnsi="Calibri" w:cs="Times New Roman"/>
          <w:sz w:val="24"/>
          <w:szCs w:val="24"/>
        </w:rPr>
        <w:t xml:space="preserve"> artifacts is lower than it is when all artifacts </w:t>
      </w:r>
      <w:r w:rsidR="004D2EF5" w:rsidRPr="00393B8A">
        <w:rPr>
          <w:rStyle w:val="normaltextrun"/>
          <w:rFonts w:ascii="Calibri" w:hAnsi="Calibri" w:cs="Times New Roman"/>
          <w:sz w:val="24"/>
          <w:szCs w:val="24"/>
        </w:rPr>
        <w:t xml:space="preserve">are </w:t>
      </w:r>
      <w:r w:rsidRPr="00393B8A">
        <w:rPr>
          <w:rStyle w:val="normaltextrun"/>
          <w:rFonts w:ascii="Calibri" w:hAnsi="Calibri" w:cs="Times New Roman"/>
          <w:sz w:val="24"/>
          <w:szCs w:val="24"/>
        </w:rPr>
        <w:t xml:space="preserve">combined with the exception of </w:t>
      </w:r>
      <w:r w:rsidR="00952233" w:rsidRPr="00393B8A">
        <w:rPr>
          <w:rStyle w:val="normaltextrun"/>
          <w:rFonts w:ascii="Calibri" w:hAnsi="Calibri" w:cs="Times New Roman"/>
          <w:sz w:val="24"/>
          <w:szCs w:val="24"/>
        </w:rPr>
        <w:t>ethical use, which remained the same</w:t>
      </w:r>
      <w:r w:rsidRPr="00393B8A">
        <w:rPr>
          <w:rStyle w:val="normaltextrun"/>
          <w:rFonts w:ascii="Calibri" w:hAnsi="Calibri" w:cs="Times New Roman"/>
          <w:sz w:val="24"/>
          <w:szCs w:val="24"/>
        </w:rPr>
        <w:t xml:space="preserve">. The highest score remains </w:t>
      </w:r>
      <w:r w:rsidR="00952233" w:rsidRPr="00393B8A">
        <w:rPr>
          <w:rStyle w:val="normaltextrun"/>
          <w:rFonts w:ascii="Calibri" w:hAnsi="Calibri" w:cs="Times New Roman"/>
          <w:sz w:val="24"/>
          <w:szCs w:val="24"/>
        </w:rPr>
        <w:t>relevance</w:t>
      </w:r>
      <w:r w:rsidRPr="00393B8A">
        <w:rPr>
          <w:rStyle w:val="normaltextrun"/>
          <w:rFonts w:ascii="Calibri" w:hAnsi="Calibri" w:cs="Times New Roman"/>
          <w:sz w:val="24"/>
          <w:szCs w:val="24"/>
        </w:rPr>
        <w:t xml:space="preserve"> at 3.</w:t>
      </w:r>
      <w:r w:rsidR="00952233" w:rsidRPr="00393B8A">
        <w:rPr>
          <w:rStyle w:val="normaltextrun"/>
          <w:rFonts w:ascii="Calibri" w:hAnsi="Calibri" w:cs="Times New Roman"/>
          <w:sz w:val="24"/>
          <w:szCs w:val="24"/>
        </w:rPr>
        <w:t>32</w:t>
      </w:r>
      <w:r w:rsidRPr="00393B8A">
        <w:rPr>
          <w:rStyle w:val="normaltextrun"/>
          <w:rFonts w:ascii="Calibri" w:hAnsi="Calibri" w:cs="Times New Roman"/>
          <w:sz w:val="24"/>
          <w:szCs w:val="24"/>
        </w:rPr>
        <w:t xml:space="preserve">, followed by </w:t>
      </w:r>
      <w:r w:rsidR="00952233" w:rsidRPr="00393B8A">
        <w:rPr>
          <w:rStyle w:val="normaltextrun"/>
          <w:rFonts w:ascii="Calibri" w:hAnsi="Calibri" w:cs="Times New Roman"/>
          <w:sz w:val="24"/>
          <w:szCs w:val="24"/>
        </w:rPr>
        <w:t>currency</w:t>
      </w:r>
      <w:r w:rsidRPr="00393B8A">
        <w:rPr>
          <w:rStyle w:val="normaltextrun"/>
          <w:rFonts w:ascii="Calibri" w:hAnsi="Calibri" w:cs="Times New Roman"/>
          <w:sz w:val="24"/>
          <w:szCs w:val="24"/>
        </w:rPr>
        <w:t xml:space="preserve"> at 3.</w:t>
      </w:r>
      <w:r w:rsidR="00952233" w:rsidRPr="00393B8A">
        <w:rPr>
          <w:rStyle w:val="normaltextrun"/>
          <w:rFonts w:ascii="Calibri" w:hAnsi="Calibri" w:cs="Times New Roman"/>
          <w:sz w:val="24"/>
          <w:szCs w:val="24"/>
        </w:rPr>
        <w:t>31</w:t>
      </w:r>
      <w:r w:rsidRPr="00393B8A">
        <w:rPr>
          <w:rStyle w:val="normaltextrun"/>
          <w:rFonts w:ascii="Calibri" w:hAnsi="Calibri" w:cs="Times New Roman"/>
          <w:sz w:val="24"/>
          <w:szCs w:val="24"/>
        </w:rPr>
        <w:t xml:space="preserve">, then </w:t>
      </w:r>
      <w:r w:rsidR="00952233" w:rsidRPr="00393B8A">
        <w:rPr>
          <w:rStyle w:val="normaltextrun"/>
          <w:rFonts w:ascii="Calibri" w:hAnsi="Calibri" w:cs="Times New Roman"/>
          <w:sz w:val="24"/>
          <w:szCs w:val="24"/>
        </w:rPr>
        <w:t>authority</w:t>
      </w:r>
      <w:r w:rsidRPr="00393B8A">
        <w:rPr>
          <w:rStyle w:val="normaltextrun"/>
          <w:rFonts w:ascii="Calibri" w:hAnsi="Calibri" w:cs="Times New Roman"/>
          <w:sz w:val="24"/>
          <w:szCs w:val="24"/>
        </w:rPr>
        <w:t xml:space="preserve"> at 3.1</w:t>
      </w:r>
      <w:r w:rsidR="00952233" w:rsidRPr="00393B8A">
        <w:rPr>
          <w:rStyle w:val="normaltextrun"/>
          <w:rFonts w:ascii="Calibri" w:hAnsi="Calibri" w:cs="Times New Roman"/>
          <w:sz w:val="24"/>
          <w:szCs w:val="24"/>
        </w:rPr>
        <w:t>4</w:t>
      </w:r>
      <w:r w:rsidRPr="00393B8A">
        <w:rPr>
          <w:rStyle w:val="normaltextrun"/>
          <w:rFonts w:ascii="Calibri" w:hAnsi="Calibri" w:cs="Times New Roman"/>
          <w:sz w:val="24"/>
          <w:szCs w:val="24"/>
        </w:rPr>
        <w:t xml:space="preserve">, and </w:t>
      </w:r>
      <w:r w:rsidR="00952233" w:rsidRPr="00393B8A">
        <w:rPr>
          <w:rStyle w:val="normaltextrun"/>
          <w:rFonts w:ascii="Calibri" w:hAnsi="Calibri" w:cs="Times New Roman"/>
          <w:sz w:val="24"/>
          <w:szCs w:val="24"/>
        </w:rPr>
        <w:t>finally ethical use</w:t>
      </w:r>
      <w:r w:rsidRPr="00393B8A">
        <w:rPr>
          <w:rStyle w:val="normaltextrun"/>
          <w:rFonts w:ascii="Calibri" w:hAnsi="Calibri" w:cs="Times New Roman"/>
          <w:sz w:val="24"/>
          <w:szCs w:val="24"/>
        </w:rPr>
        <w:t xml:space="preserve"> at </w:t>
      </w:r>
      <w:r w:rsidR="00952233" w:rsidRPr="00393B8A">
        <w:rPr>
          <w:rStyle w:val="normaltextrun"/>
          <w:rFonts w:ascii="Calibri" w:hAnsi="Calibri" w:cs="Times New Roman"/>
          <w:sz w:val="24"/>
          <w:szCs w:val="24"/>
        </w:rPr>
        <w:t>2.78</w:t>
      </w:r>
      <w:r w:rsidRPr="00393B8A">
        <w:rPr>
          <w:rStyle w:val="normaltextrun"/>
          <w:rFonts w:ascii="Calibri" w:hAnsi="Calibri" w:cs="Times New Roman"/>
          <w:sz w:val="24"/>
          <w:szCs w:val="24"/>
        </w:rPr>
        <w:t>.</w:t>
      </w:r>
      <w:r w:rsidRPr="00393B8A">
        <w:rPr>
          <w:rStyle w:val="eop"/>
          <w:rFonts w:ascii="Calibri" w:hAnsi="Calibri" w:cs="Times New Roman"/>
          <w:sz w:val="24"/>
          <w:szCs w:val="24"/>
        </w:rPr>
        <w:t> </w:t>
      </w:r>
    </w:p>
    <w:p w14:paraId="3C2DF877" w14:textId="58521B4C" w:rsidR="008A6DCD" w:rsidRDefault="002969B4" w:rsidP="008A6DCD">
      <w:pPr>
        <w:pStyle w:val="paragraph"/>
        <w:textAlignment w:val="baseline"/>
        <w:rPr>
          <w:rFonts w:cs="Times New Roman"/>
        </w:rPr>
      </w:pPr>
      <w:r>
        <w:rPr>
          <w:noProof/>
        </w:rPr>
        <w:lastRenderedPageBreak/>
        <w:drawing>
          <wp:inline distT="0" distB="0" distL="0" distR="0" wp14:anchorId="60EE106B" wp14:editId="2A445012">
            <wp:extent cx="6858000" cy="30099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B12FA4" w14:textId="03A024F9" w:rsidR="4CF74205" w:rsidRDefault="4CF74205" w:rsidP="4CF74205">
      <w:pPr>
        <w:spacing w:before="40" w:after="0"/>
        <w:rPr>
          <w:rFonts w:ascii="Cambria" w:eastAsia="Cambria" w:hAnsi="Cambria" w:cs="Cambria"/>
          <w:color w:val="365F91" w:themeColor="accent1" w:themeShade="BF"/>
          <w:sz w:val="26"/>
          <w:szCs w:val="26"/>
        </w:rPr>
      </w:pPr>
      <w:r w:rsidRPr="4CF74205">
        <w:rPr>
          <w:rFonts w:ascii="Cambria" w:eastAsia="Cambria" w:hAnsi="Cambria" w:cs="Cambria"/>
          <w:color w:val="365F91" w:themeColor="accent1" w:themeShade="BF"/>
          <w:sz w:val="26"/>
          <w:szCs w:val="26"/>
        </w:rPr>
        <w:t>100-level vs. 200-level:</w:t>
      </w:r>
    </w:p>
    <w:p w14:paraId="6E2B3AEC" w14:textId="663A3A60" w:rsidR="4CF74205" w:rsidRDefault="4B754074" w:rsidP="4B754074">
      <w:pPr>
        <w:rPr>
          <w:rFonts w:ascii="Calibri" w:eastAsia="Calibri" w:hAnsi="Calibri" w:cs="Calibri"/>
          <w:sz w:val="24"/>
          <w:szCs w:val="24"/>
        </w:rPr>
      </w:pPr>
      <w:r w:rsidRPr="4B754074">
        <w:rPr>
          <w:rFonts w:ascii="Calibri" w:eastAsia="Calibri" w:hAnsi="Calibri" w:cs="Calibri"/>
          <w:sz w:val="24"/>
          <w:szCs w:val="24"/>
        </w:rPr>
        <w:t>A total of 103 artifacts from 100-level classes were included in the sample. The average for all criteria for these artifacts is lower than it is when all artifacts are combined. The highest average score was currency at 3.21, followed by relevance at 3.19, then authority at 2.96, and finally ethical use at 2.73.</w:t>
      </w:r>
    </w:p>
    <w:p w14:paraId="536583FB" w14:textId="77777777" w:rsidR="0083531C" w:rsidRDefault="00CD390C" w:rsidP="4CF74205">
      <w:pPr>
        <w:rPr>
          <w:rFonts w:ascii="Calibri" w:eastAsia="Calibri" w:hAnsi="Calibri" w:cs="Calibri"/>
          <w:sz w:val="24"/>
          <w:szCs w:val="24"/>
        </w:rPr>
      </w:pPr>
      <w:r>
        <w:rPr>
          <w:noProof/>
        </w:rPr>
        <w:drawing>
          <wp:inline distT="0" distB="0" distL="0" distR="0" wp14:anchorId="744836A1" wp14:editId="1A4E7EB7">
            <wp:extent cx="6590995" cy="3160166"/>
            <wp:effectExtent l="0" t="0" r="63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C8C6E7" w14:textId="245696B0" w:rsidR="4CF74205" w:rsidRDefault="4B754074" w:rsidP="4B754074">
      <w:pPr>
        <w:rPr>
          <w:rFonts w:ascii="Calibri" w:eastAsia="Calibri" w:hAnsi="Calibri" w:cs="Calibri"/>
          <w:sz w:val="24"/>
          <w:szCs w:val="24"/>
        </w:rPr>
      </w:pPr>
      <w:r w:rsidRPr="4B754074">
        <w:rPr>
          <w:rFonts w:ascii="Calibri" w:eastAsia="Calibri" w:hAnsi="Calibri" w:cs="Calibri"/>
          <w:sz w:val="24"/>
          <w:szCs w:val="24"/>
        </w:rPr>
        <w:t>A total of 245 artifacts from 200-level classes were included in the sample. The average for all criteria for these artifacts is higher than it is when all artifacts are combined. The highest average score was for both relevance and currency at 3.44, followed by authority at 3.32, and finally ethical use at 2.94.</w:t>
      </w:r>
    </w:p>
    <w:p w14:paraId="7181DE79" w14:textId="77777777" w:rsidR="0009050C" w:rsidRDefault="0009050C" w:rsidP="4CF74205">
      <w:r>
        <w:rPr>
          <w:noProof/>
        </w:rPr>
        <w:lastRenderedPageBreak/>
        <w:drawing>
          <wp:inline distT="0" distB="0" distL="0" distR="0" wp14:anchorId="0AD0488D" wp14:editId="63DEF24C">
            <wp:extent cx="6788505" cy="3474720"/>
            <wp:effectExtent l="0" t="0" r="1270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000B53" w14:textId="73371E4F" w:rsidR="0009050C" w:rsidRDefault="4B754074" w:rsidP="4B754074">
      <w:pPr>
        <w:rPr>
          <w:rFonts w:ascii="Calibri" w:eastAsia="Calibri" w:hAnsi="Calibri" w:cs="Calibri"/>
          <w:sz w:val="24"/>
          <w:szCs w:val="24"/>
        </w:rPr>
      </w:pPr>
      <w:r w:rsidRPr="4B754074">
        <w:rPr>
          <w:rFonts w:ascii="Calibri" w:eastAsia="Calibri" w:hAnsi="Calibri" w:cs="Calibri"/>
          <w:sz w:val="24"/>
          <w:szCs w:val="24"/>
        </w:rPr>
        <w:t>NOTE: There were too few submissions from Transitional Studies to warrant looking at this group separately.</w:t>
      </w:r>
    </w:p>
    <w:p w14:paraId="72F7D591" w14:textId="77777777" w:rsidR="00FD286A" w:rsidRDefault="00FD286A" w:rsidP="00FD286A">
      <w:pPr>
        <w:pStyle w:val="paragraph"/>
        <w:textAlignment w:val="baseline"/>
        <w:rPr>
          <w:rFonts w:cs="Times New Roman"/>
          <w:color w:val="365F91"/>
        </w:rPr>
      </w:pPr>
      <w:r>
        <w:rPr>
          <w:rStyle w:val="normaltextrun"/>
          <w:rFonts w:ascii="Cambria" w:hAnsi="Cambria" w:cs="Times New Roman"/>
          <w:color w:val="365F91"/>
          <w:sz w:val="26"/>
          <w:szCs w:val="26"/>
        </w:rPr>
        <w:t>Professional-Technical Programs</w:t>
      </w:r>
      <w:r>
        <w:rPr>
          <w:rStyle w:val="eop"/>
          <w:rFonts w:ascii="Cambria" w:hAnsi="Cambria" w:cs="Times New Roman"/>
          <w:color w:val="365F91"/>
          <w:sz w:val="26"/>
          <w:szCs w:val="26"/>
        </w:rPr>
        <w:t> </w:t>
      </w:r>
    </w:p>
    <w:p w14:paraId="28C92073" w14:textId="2C569AEB" w:rsidR="00FD286A" w:rsidRPr="00393B8A" w:rsidRDefault="00FD286A" w:rsidP="00FD286A">
      <w:pPr>
        <w:pStyle w:val="paragraph"/>
        <w:textAlignment w:val="baseline"/>
        <w:rPr>
          <w:rFonts w:cs="Times New Roman"/>
          <w:sz w:val="24"/>
          <w:szCs w:val="24"/>
        </w:rPr>
      </w:pPr>
      <w:r w:rsidRPr="00393B8A">
        <w:rPr>
          <w:rStyle w:val="normaltextrun"/>
          <w:rFonts w:ascii="Calibri" w:hAnsi="Calibri" w:cs="Times New Roman"/>
          <w:sz w:val="24"/>
          <w:szCs w:val="24"/>
        </w:rPr>
        <w:t xml:space="preserve">A total of </w:t>
      </w:r>
      <w:r w:rsidR="00B04934" w:rsidRPr="00393B8A">
        <w:rPr>
          <w:rStyle w:val="normaltextrun"/>
          <w:rFonts w:ascii="Calibri" w:hAnsi="Calibri" w:cs="Times New Roman"/>
          <w:sz w:val="24"/>
          <w:szCs w:val="24"/>
        </w:rPr>
        <w:t>72</w:t>
      </w:r>
      <w:r w:rsidRPr="00393B8A">
        <w:rPr>
          <w:rStyle w:val="normaltextrun"/>
          <w:rFonts w:ascii="Calibri" w:hAnsi="Calibri" w:cs="Times New Roman"/>
          <w:sz w:val="24"/>
          <w:szCs w:val="24"/>
        </w:rPr>
        <w:t xml:space="preserve"> artifacts from the Professional-Technical programs were included in the sample. The average for each criterion was higher than the average for all artifacts combined. </w:t>
      </w:r>
      <w:proofErr w:type="gramStart"/>
      <w:r w:rsidRPr="00393B8A">
        <w:rPr>
          <w:rStyle w:val="normaltextrun"/>
          <w:rFonts w:ascii="Calibri" w:hAnsi="Calibri" w:cs="Times New Roman"/>
          <w:sz w:val="24"/>
          <w:szCs w:val="24"/>
        </w:rPr>
        <w:t xml:space="preserve">The highest average score was again for </w:t>
      </w:r>
      <w:r w:rsidR="00B04934" w:rsidRPr="00393B8A">
        <w:rPr>
          <w:rStyle w:val="normaltextrun"/>
          <w:rFonts w:ascii="Calibri" w:hAnsi="Calibri" w:cs="Times New Roman"/>
          <w:sz w:val="24"/>
          <w:szCs w:val="24"/>
        </w:rPr>
        <w:t>relevance</w:t>
      </w:r>
      <w:r w:rsidRPr="00393B8A">
        <w:rPr>
          <w:rStyle w:val="normaltextrun"/>
          <w:rFonts w:ascii="Calibri" w:hAnsi="Calibri" w:cs="Times New Roman"/>
          <w:sz w:val="24"/>
          <w:szCs w:val="24"/>
        </w:rPr>
        <w:t xml:space="preserve"> at 3.</w:t>
      </w:r>
      <w:r w:rsidR="00B04934" w:rsidRPr="00393B8A">
        <w:rPr>
          <w:rStyle w:val="normaltextrun"/>
          <w:rFonts w:ascii="Calibri" w:hAnsi="Calibri" w:cs="Times New Roman"/>
          <w:sz w:val="24"/>
          <w:szCs w:val="24"/>
        </w:rPr>
        <w:t>83</w:t>
      </w:r>
      <w:r w:rsidRPr="00393B8A">
        <w:rPr>
          <w:rStyle w:val="normaltextrun"/>
          <w:rFonts w:ascii="Calibri" w:hAnsi="Calibri" w:cs="Times New Roman"/>
          <w:sz w:val="24"/>
          <w:szCs w:val="24"/>
        </w:rPr>
        <w:t xml:space="preserve">, followed by </w:t>
      </w:r>
      <w:r w:rsidR="00B04934" w:rsidRPr="00393B8A">
        <w:rPr>
          <w:rStyle w:val="normaltextrun"/>
          <w:rFonts w:ascii="Calibri" w:hAnsi="Calibri" w:cs="Times New Roman"/>
          <w:sz w:val="24"/>
          <w:szCs w:val="24"/>
        </w:rPr>
        <w:t xml:space="preserve">currency </w:t>
      </w:r>
      <w:r w:rsidRPr="00393B8A">
        <w:rPr>
          <w:rStyle w:val="normaltextrun"/>
          <w:rFonts w:ascii="Calibri" w:hAnsi="Calibri" w:cs="Times New Roman"/>
          <w:sz w:val="24"/>
          <w:szCs w:val="24"/>
        </w:rPr>
        <w:t xml:space="preserve">at </w:t>
      </w:r>
      <w:r w:rsidR="00B04934" w:rsidRPr="00393B8A">
        <w:rPr>
          <w:rStyle w:val="normaltextrun"/>
          <w:rFonts w:ascii="Calibri" w:hAnsi="Calibri" w:cs="Times New Roman"/>
          <w:sz w:val="24"/>
          <w:szCs w:val="24"/>
        </w:rPr>
        <w:t>3.74</w:t>
      </w:r>
      <w:r w:rsidRPr="00393B8A">
        <w:rPr>
          <w:rStyle w:val="normaltextrun"/>
          <w:rFonts w:ascii="Calibri" w:hAnsi="Calibri" w:cs="Times New Roman"/>
          <w:sz w:val="24"/>
          <w:szCs w:val="24"/>
        </w:rPr>
        <w:t xml:space="preserve">, then </w:t>
      </w:r>
      <w:r w:rsidR="00B04934" w:rsidRPr="00393B8A">
        <w:rPr>
          <w:rStyle w:val="normaltextrun"/>
          <w:rFonts w:ascii="Calibri" w:hAnsi="Calibri" w:cs="Times New Roman"/>
          <w:sz w:val="24"/>
          <w:szCs w:val="24"/>
        </w:rPr>
        <w:t>authority</w:t>
      </w:r>
      <w:proofErr w:type="gramEnd"/>
      <w:r w:rsidRPr="00393B8A">
        <w:rPr>
          <w:rStyle w:val="normaltextrun"/>
          <w:rFonts w:ascii="Calibri" w:hAnsi="Calibri" w:cs="Times New Roman"/>
          <w:sz w:val="24"/>
          <w:szCs w:val="24"/>
        </w:rPr>
        <w:t xml:space="preserve"> at 3.</w:t>
      </w:r>
      <w:r w:rsidR="00B04934" w:rsidRPr="00393B8A">
        <w:rPr>
          <w:rStyle w:val="normaltextrun"/>
          <w:rFonts w:ascii="Calibri" w:hAnsi="Calibri" w:cs="Times New Roman"/>
          <w:sz w:val="24"/>
          <w:szCs w:val="24"/>
        </w:rPr>
        <w:t>72</w:t>
      </w:r>
      <w:r w:rsidRPr="00393B8A">
        <w:rPr>
          <w:rStyle w:val="normaltextrun"/>
          <w:rFonts w:ascii="Calibri" w:hAnsi="Calibri" w:cs="Times New Roman"/>
          <w:sz w:val="24"/>
          <w:szCs w:val="24"/>
        </w:rPr>
        <w:t xml:space="preserve">, and finally </w:t>
      </w:r>
      <w:r w:rsidR="00B04934" w:rsidRPr="00393B8A">
        <w:rPr>
          <w:rStyle w:val="normaltextrun"/>
          <w:rFonts w:ascii="Calibri" w:hAnsi="Calibri" w:cs="Times New Roman"/>
          <w:sz w:val="24"/>
          <w:szCs w:val="24"/>
        </w:rPr>
        <w:t>ethical use</w:t>
      </w:r>
      <w:r w:rsidRPr="00393B8A">
        <w:rPr>
          <w:rStyle w:val="normaltextrun"/>
          <w:rFonts w:ascii="Calibri" w:hAnsi="Calibri" w:cs="Times New Roman"/>
          <w:sz w:val="24"/>
          <w:szCs w:val="24"/>
        </w:rPr>
        <w:t xml:space="preserve"> at 3.46.</w:t>
      </w:r>
      <w:r w:rsidRPr="00393B8A">
        <w:rPr>
          <w:rStyle w:val="eop"/>
          <w:rFonts w:ascii="Calibri" w:hAnsi="Calibri" w:cs="Times New Roman"/>
          <w:sz w:val="24"/>
          <w:szCs w:val="24"/>
        </w:rPr>
        <w:t> </w:t>
      </w:r>
    </w:p>
    <w:p w14:paraId="4DF6C8DD" w14:textId="7C34A2AC" w:rsidR="00FD286A" w:rsidRDefault="00802CA4" w:rsidP="00FD286A">
      <w:pPr>
        <w:pStyle w:val="paragraph"/>
        <w:textAlignment w:val="baseline"/>
        <w:rPr>
          <w:rFonts w:cs="Times New Roman"/>
        </w:rPr>
      </w:pPr>
      <w:r>
        <w:rPr>
          <w:noProof/>
        </w:rPr>
        <w:drawing>
          <wp:inline distT="0" distB="0" distL="0" distR="0" wp14:anchorId="0A519334" wp14:editId="1FF9696E">
            <wp:extent cx="6858000" cy="30956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D286A" w:rsidRPr="00393B8A">
        <w:rPr>
          <w:rStyle w:val="normaltextrun"/>
          <w:rFonts w:ascii="Calibri" w:hAnsi="Calibri" w:cs="Times New Roman"/>
          <w:sz w:val="24"/>
          <w:szCs w:val="24"/>
        </w:rPr>
        <w:t xml:space="preserve">When Professional-Technical artifacts are removed, the average for all criteria for the remaining </w:t>
      </w:r>
      <w:r w:rsidR="00143494" w:rsidRPr="00393B8A">
        <w:rPr>
          <w:rStyle w:val="normaltextrun"/>
          <w:rFonts w:ascii="Calibri" w:hAnsi="Calibri" w:cs="Times New Roman"/>
          <w:sz w:val="24"/>
          <w:szCs w:val="24"/>
        </w:rPr>
        <w:t xml:space="preserve">287 </w:t>
      </w:r>
      <w:r w:rsidR="00FD286A" w:rsidRPr="00393B8A">
        <w:rPr>
          <w:rStyle w:val="normaltextrun"/>
          <w:rFonts w:ascii="Calibri" w:hAnsi="Calibri" w:cs="Times New Roman"/>
          <w:sz w:val="24"/>
          <w:szCs w:val="24"/>
        </w:rPr>
        <w:t xml:space="preserve">artifacts is lower than it is when all artifacts </w:t>
      </w:r>
      <w:r w:rsidR="00E54A6A" w:rsidRPr="00393B8A">
        <w:rPr>
          <w:rStyle w:val="normaltextrun"/>
          <w:rFonts w:ascii="Calibri" w:hAnsi="Calibri" w:cs="Times New Roman"/>
          <w:sz w:val="24"/>
          <w:szCs w:val="24"/>
        </w:rPr>
        <w:t xml:space="preserve">are </w:t>
      </w:r>
      <w:r w:rsidR="00FD286A" w:rsidRPr="00393B8A">
        <w:rPr>
          <w:rStyle w:val="normaltextrun"/>
          <w:rFonts w:ascii="Calibri" w:hAnsi="Calibri" w:cs="Times New Roman"/>
          <w:sz w:val="24"/>
          <w:szCs w:val="24"/>
        </w:rPr>
        <w:t xml:space="preserve">combined. The highest score is </w:t>
      </w:r>
      <w:r w:rsidR="00673D50" w:rsidRPr="00393B8A">
        <w:rPr>
          <w:rStyle w:val="normaltextrun"/>
          <w:rFonts w:ascii="Calibri" w:hAnsi="Calibri" w:cs="Times New Roman"/>
          <w:sz w:val="24"/>
          <w:szCs w:val="24"/>
        </w:rPr>
        <w:t>currency at 3.24</w:t>
      </w:r>
      <w:r w:rsidR="00FD286A" w:rsidRPr="00393B8A">
        <w:rPr>
          <w:rStyle w:val="normaltextrun"/>
          <w:rFonts w:ascii="Calibri" w:hAnsi="Calibri" w:cs="Times New Roman"/>
          <w:sz w:val="24"/>
          <w:szCs w:val="24"/>
        </w:rPr>
        <w:t xml:space="preserve">, followed by </w:t>
      </w:r>
      <w:r w:rsidR="00673D50" w:rsidRPr="00393B8A">
        <w:rPr>
          <w:rStyle w:val="normaltextrun"/>
          <w:rFonts w:ascii="Calibri" w:hAnsi="Calibri" w:cs="Times New Roman"/>
          <w:sz w:val="24"/>
          <w:szCs w:val="24"/>
        </w:rPr>
        <w:t>relevance</w:t>
      </w:r>
      <w:r w:rsidR="00FD286A" w:rsidRPr="00393B8A">
        <w:rPr>
          <w:rStyle w:val="normaltextrun"/>
          <w:rFonts w:ascii="Calibri" w:hAnsi="Calibri" w:cs="Times New Roman"/>
          <w:sz w:val="24"/>
          <w:szCs w:val="24"/>
        </w:rPr>
        <w:t xml:space="preserve"> at </w:t>
      </w:r>
      <w:r w:rsidR="00673D50" w:rsidRPr="00393B8A">
        <w:rPr>
          <w:rStyle w:val="normaltextrun"/>
          <w:rFonts w:ascii="Calibri" w:hAnsi="Calibri" w:cs="Times New Roman"/>
          <w:sz w:val="24"/>
          <w:szCs w:val="24"/>
        </w:rPr>
        <w:t>3.23</w:t>
      </w:r>
      <w:r w:rsidR="00FD286A" w:rsidRPr="00393B8A">
        <w:rPr>
          <w:rStyle w:val="normaltextrun"/>
          <w:rFonts w:ascii="Calibri" w:hAnsi="Calibri" w:cs="Times New Roman"/>
          <w:sz w:val="24"/>
          <w:szCs w:val="24"/>
        </w:rPr>
        <w:t xml:space="preserve">, then </w:t>
      </w:r>
      <w:r w:rsidR="00673D50" w:rsidRPr="00393B8A">
        <w:rPr>
          <w:rStyle w:val="normaltextrun"/>
          <w:rFonts w:ascii="Calibri" w:hAnsi="Calibri" w:cs="Times New Roman"/>
          <w:sz w:val="24"/>
          <w:szCs w:val="24"/>
        </w:rPr>
        <w:t>authority</w:t>
      </w:r>
      <w:r w:rsidR="00FD286A" w:rsidRPr="00393B8A">
        <w:rPr>
          <w:rStyle w:val="normaltextrun"/>
          <w:rFonts w:ascii="Calibri" w:hAnsi="Calibri" w:cs="Times New Roman"/>
          <w:sz w:val="24"/>
          <w:szCs w:val="24"/>
        </w:rPr>
        <w:t xml:space="preserve"> at </w:t>
      </w:r>
      <w:r w:rsidR="00673D50" w:rsidRPr="00393B8A">
        <w:rPr>
          <w:rStyle w:val="normaltextrun"/>
          <w:rFonts w:ascii="Calibri" w:hAnsi="Calibri" w:cs="Times New Roman"/>
          <w:sz w:val="24"/>
          <w:szCs w:val="24"/>
        </w:rPr>
        <w:t>3.03</w:t>
      </w:r>
      <w:r w:rsidR="00FD286A" w:rsidRPr="00393B8A">
        <w:rPr>
          <w:rStyle w:val="normaltextrun"/>
          <w:rFonts w:ascii="Calibri" w:hAnsi="Calibri" w:cs="Times New Roman"/>
          <w:sz w:val="24"/>
          <w:szCs w:val="24"/>
        </w:rPr>
        <w:t xml:space="preserve">, and finally </w:t>
      </w:r>
      <w:r w:rsidR="00673D50" w:rsidRPr="00393B8A">
        <w:rPr>
          <w:rStyle w:val="normaltextrun"/>
          <w:rFonts w:ascii="Calibri" w:hAnsi="Calibri" w:cs="Times New Roman"/>
          <w:sz w:val="24"/>
          <w:szCs w:val="24"/>
        </w:rPr>
        <w:t>ethical use at 2.68</w:t>
      </w:r>
      <w:r w:rsidR="00FD286A" w:rsidRPr="00393B8A">
        <w:rPr>
          <w:rStyle w:val="normaltextrun"/>
          <w:rFonts w:ascii="Calibri" w:hAnsi="Calibri" w:cs="Times New Roman"/>
          <w:sz w:val="24"/>
          <w:szCs w:val="24"/>
        </w:rPr>
        <w:t>.</w:t>
      </w:r>
      <w:r w:rsidR="00FD286A">
        <w:rPr>
          <w:rStyle w:val="eop"/>
          <w:rFonts w:ascii="Calibri" w:hAnsi="Calibri" w:cs="Times New Roman"/>
          <w:sz w:val="22"/>
          <w:szCs w:val="22"/>
        </w:rPr>
        <w:t> </w:t>
      </w:r>
    </w:p>
    <w:p w14:paraId="02F0142B" w14:textId="77777777" w:rsidR="00CE42DB" w:rsidRDefault="00CE42DB" w:rsidP="00FD286A">
      <w:pPr>
        <w:rPr>
          <w:highlight w:val="yellow"/>
        </w:rPr>
      </w:pPr>
      <w:r>
        <w:rPr>
          <w:noProof/>
        </w:rPr>
        <w:lastRenderedPageBreak/>
        <w:drawing>
          <wp:inline distT="0" distB="0" distL="0" distR="0" wp14:anchorId="72A9410E" wp14:editId="3A060078">
            <wp:extent cx="6858000" cy="31337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4B754074">
        <w:t xml:space="preserve"> </w:t>
      </w:r>
    </w:p>
    <w:p w14:paraId="401831A7" w14:textId="51E167C7" w:rsidR="00E243DA" w:rsidRDefault="00E243DA" w:rsidP="00E243DA">
      <w:pPr>
        <w:pStyle w:val="Heading2"/>
      </w:pPr>
      <w:r w:rsidRPr="00E243DA">
        <w:t>General Observations</w:t>
      </w:r>
    </w:p>
    <w:p w14:paraId="2A36A08D" w14:textId="08F0112B" w:rsidR="4B754074" w:rsidRDefault="4B754074" w:rsidP="4B754074">
      <w:pPr>
        <w:rPr>
          <w:sz w:val="24"/>
          <w:szCs w:val="24"/>
        </w:rPr>
      </w:pPr>
      <w:r w:rsidRPr="4B754074">
        <w:rPr>
          <w:sz w:val="24"/>
          <w:szCs w:val="24"/>
        </w:rPr>
        <w:t>Those who scored artifacts also made note of any general patterns they were seeing. Some of these observations include that citations were often lacking (particularly within the body of the text) and that sources were poorly integrated, with little to no interpretation or analysis (i.e. “</w:t>
      </w:r>
      <w:proofErr w:type="spellStart"/>
      <w:r w:rsidRPr="4B754074">
        <w:rPr>
          <w:sz w:val="24"/>
          <w:szCs w:val="24"/>
        </w:rPr>
        <w:t>patchwriting</w:t>
      </w:r>
      <w:proofErr w:type="spellEnd"/>
      <w:r w:rsidRPr="4B754074">
        <w:rPr>
          <w:sz w:val="24"/>
          <w:szCs w:val="24"/>
        </w:rPr>
        <w:t xml:space="preserve">” or plagiarism).  </w:t>
      </w:r>
    </w:p>
    <w:p w14:paraId="12A70532" w14:textId="77777777" w:rsidR="00C26736" w:rsidRDefault="00DA403C" w:rsidP="00145D69">
      <w:pPr>
        <w:pStyle w:val="Heading1"/>
      </w:pPr>
      <w:r>
        <w:t>Limitations</w:t>
      </w:r>
    </w:p>
    <w:p w14:paraId="79173082" w14:textId="77777777" w:rsidR="00842BFB" w:rsidRPr="00211D0B" w:rsidRDefault="00842BFB" w:rsidP="00842BFB">
      <w:pPr>
        <w:rPr>
          <w:sz w:val="24"/>
          <w:szCs w:val="24"/>
        </w:rPr>
      </w:pPr>
      <w:r w:rsidRPr="00211D0B">
        <w:rPr>
          <w:sz w:val="24"/>
          <w:szCs w:val="24"/>
        </w:rPr>
        <w:t xml:space="preserve">No statisticians </w:t>
      </w:r>
      <w:r>
        <w:rPr>
          <w:sz w:val="24"/>
          <w:szCs w:val="24"/>
        </w:rPr>
        <w:t xml:space="preserve">serve </w:t>
      </w:r>
      <w:r w:rsidRPr="00211D0B">
        <w:rPr>
          <w:sz w:val="24"/>
          <w:szCs w:val="24"/>
        </w:rPr>
        <w:t>on the committee</w:t>
      </w:r>
      <w:r>
        <w:rPr>
          <w:sz w:val="24"/>
          <w:szCs w:val="24"/>
        </w:rPr>
        <w:t>; however, CLAC welcomes</w:t>
      </w:r>
      <w:r w:rsidRPr="00211D0B">
        <w:rPr>
          <w:sz w:val="24"/>
          <w:szCs w:val="24"/>
        </w:rPr>
        <w:t xml:space="preserve"> any assistance </w:t>
      </w:r>
      <w:r>
        <w:rPr>
          <w:sz w:val="24"/>
          <w:szCs w:val="24"/>
        </w:rPr>
        <w:t xml:space="preserve">with data analysis </w:t>
      </w:r>
      <w:r w:rsidRPr="00211D0B">
        <w:rPr>
          <w:sz w:val="24"/>
          <w:szCs w:val="24"/>
        </w:rPr>
        <w:t>in the future.</w:t>
      </w:r>
      <w:r>
        <w:rPr>
          <w:sz w:val="24"/>
          <w:szCs w:val="24"/>
        </w:rPr>
        <w:t xml:space="preserve"> In addition, s</w:t>
      </w:r>
      <w:r w:rsidRPr="43248D27">
        <w:rPr>
          <w:sz w:val="24"/>
          <w:szCs w:val="24"/>
        </w:rPr>
        <w:t>ome ass</w:t>
      </w:r>
      <w:r>
        <w:rPr>
          <w:sz w:val="24"/>
          <w:szCs w:val="24"/>
        </w:rPr>
        <w:t xml:space="preserve">ignments were group assignments, while </w:t>
      </w:r>
      <w:r w:rsidRPr="43248D27">
        <w:rPr>
          <w:sz w:val="24"/>
          <w:szCs w:val="24"/>
        </w:rPr>
        <w:t xml:space="preserve">others were to be completed individually; </w:t>
      </w:r>
      <w:r>
        <w:rPr>
          <w:sz w:val="24"/>
          <w:szCs w:val="24"/>
        </w:rPr>
        <w:t>scorers</w:t>
      </w:r>
      <w:r w:rsidRPr="43248D27">
        <w:rPr>
          <w:sz w:val="24"/>
          <w:szCs w:val="24"/>
        </w:rPr>
        <w:t xml:space="preserve"> did not weight these assignments differently.</w:t>
      </w:r>
    </w:p>
    <w:p w14:paraId="33628EE8" w14:textId="7529952C" w:rsidR="004C5A8A" w:rsidRDefault="39331FE6" w:rsidP="004C5A8A">
      <w:pPr>
        <w:pStyle w:val="Heading1"/>
      </w:pPr>
      <w:r>
        <w:t>Discussion</w:t>
      </w:r>
    </w:p>
    <w:p w14:paraId="2A50D61C" w14:textId="77777777" w:rsidR="00E43157" w:rsidRDefault="38A64F5D" w:rsidP="38A64F5D">
      <w:r w:rsidRPr="38A64F5D">
        <w:rPr>
          <w:rFonts w:ascii="Calibri" w:eastAsia="Calibri" w:hAnsi="Calibri" w:cs="Calibri"/>
        </w:rPr>
        <w:t xml:space="preserve">Data was sorted in a variety of ways </w:t>
      </w:r>
      <w:r>
        <w:t xml:space="preserve">to </w:t>
      </w:r>
      <w:r w:rsidRPr="38A64F5D">
        <w:t xml:space="preserve">provide a snapshot of student achievement and identify possible areas of opportunity.  </w:t>
      </w:r>
    </w:p>
    <w:p w14:paraId="01981EFB" w14:textId="12A89A76" w:rsidR="4CF74205" w:rsidRDefault="39331FE6" w:rsidP="39331FE6">
      <w:pPr>
        <w:rPr>
          <w:sz w:val="24"/>
          <w:szCs w:val="24"/>
        </w:rPr>
      </w:pPr>
      <w:r w:rsidRPr="39331FE6">
        <w:rPr>
          <w:sz w:val="24"/>
          <w:szCs w:val="24"/>
        </w:rPr>
        <w:t xml:space="preserve">While the scores vary depending on how the data is sorted, relevance and currency are the two criteria on which students score the highest, while ethical use is consistently the lowest. Students generally score between a three and a four for the relevance, currency, and authority criteria, placing them between the competent and accomplished levels (100-level students however, were slightly below a three for the authority criterion). Given that these skills are developed iteratively over time and students will continue to apply and develop these skills throughout the remainder of their time at TCC, these scores seem appropriate. Ethical use however, is generally between the developing and competent levels, so some additional focus here might be useful. </w:t>
      </w:r>
    </w:p>
    <w:p w14:paraId="1ECC0305" w14:textId="1F864F08" w:rsidR="4CF74205" w:rsidRDefault="38A64F5D" w:rsidP="38A64F5D">
      <w:pPr>
        <w:rPr>
          <w:sz w:val="24"/>
          <w:szCs w:val="24"/>
        </w:rPr>
      </w:pPr>
      <w:r w:rsidRPr="38A64F5D">
        <w:rPr>
          <w:sz w:val="24"/>
          <w:szCs w:val="24"/>
        </w:rPr>
        <w:t xml:space="preserve">Since the rubric used in 2011-12 included different criteria and was adapted from an AAC&amp;U rubric, which is geared toward students at four-year institutions, no accurate comparisons can be made with previous assessment work. </w:t>
      </w:r>
      <w:r w:rsidRPr="38A64F5D">
        <w:rPr>
          <w:rFonts w:ascii="Calibri" w:eastAsia="Calibri" w:hAnsi="Calibri" w:cs="Calibri"/>
          <w:sz w:val="24"/>
          <w:szCs w:val="24"/>
        </w:rPr>
        <w:t>However, it can be noted that several challenges identified in the 2011-12 report have been addressed such as</w:t>
      </w:r>
      <w:proofErr w:type="gramStart"/>
      <w:r w:rsidRPr="38A64F5D">
        <w:rPr>
          <w:rFonts w:ascii="Calibri" w:eastAsia="Calibri" w:hAnsi="Calibri" w:cs="Calibri"/>
          <w:sz w:val="24"/>
          <w:szCs w:val="24"/>
        </w:rPr>
        <w:t>;</w:t>
      </w:r>
      <w:proofErr w:type="gramEnd"/>
      <w:r w:rsidRPr="38A64F5D">
        <w:rPr>
          <w:rFonts w:ascii="Calibri" w:eastAsia="Calibri" w:hAnsi="Calibri" w:cs="Calibri"/>
          <w:sz w:val="24"/>
          <w:szCs w:val="24"/>
        </w:rPr>
        <w:t xml:space="preserve"> student confidentiality and use of assignments, assignment instructions, the storing of artifacts, and the application of the rubric.</w:t>
      </w:r>
    </w:p>
    <w:p w14:paraId="17E453A3" w14:textId="77777777" w:rsidR="00FE4B8C" w:rsidRPr="00FE4B8C" w:rsidRDefault="00DA403C" w:rsidP="00DA687E">
      <w:pPr>
        <w:pStyle w:val="Heading1"/>
      </w:pPr>
      <w:r>
        <w:lastRenderedPageBreak/>
        <w:t>Recommendations</w:t>
      </w:r>
    </w:p>
    <w:p w14:paraId="2D695B19" w14:textId="6CE13C9F" w:rsidR="00FE4B8C" w:rsidRPr="00393B8A" w:rsidRDefault="00302B03" w:rsidP="00DA403C">
      <w:pPr>
        <w:rPr>
          <w:sz w:val="24"/>
          <w:szCs w:val="24"/>
        </w:rPr>
      </w:pPr>
      <w:r>
        <w:rPr>
          <w:sz w:val="24"/>
          <w:szCs w:val="24"/>
        </w:rPr>
        <w:t xml:space="preserve">Some </w:t>
      </w:r>
      <w:r w:rsidRPr="00302B03">
        <w:rPr>
          <w:sz w:val="24"/>
          <w:szCs w:val="24"/>
        </w:rPr>
        <w:t xml:space="preserve">assignments were </w:t>
      </w:r>
      <w:proofErr w:type="spellStart"/>
      <w:r w:rsidRPr="00302B03">
        <w:rPr>
          <w:sz w:val="24"/>
          <w:szCs w:val="24"/>
        </w:rPr>
        <w:t>scaffolded</w:t>
      </w:r>
      <w:proofErr w:type="spellEnd"/>
      <w:r w:rsidRPr="00302B03">
        <w:rPr>
          <w:sz w:val="24"/>
          <w:szCs w:val="24"/>
        </w:rPr>
        <w:t xml:space="preserve"> </w:t>
      </w:r>
      <w:r w:rsidR="003C1118">
        <w:rPr>
          <w:sz w:val="24"/>
          <w:szCs w:val="24"/>
        </w:rPr>
        <w:t xml:space="preserve">poorly </w:t>
      </w:r>
      <w:r w:rsidRPr="00302B03">
        <w:rPr>
          <w:sz w:val="24"/>
          <w:szCs w:val="24"/>
        </w:rPr>
        <w:t>and made assumptions about student knowledge</w:t>
      </w:r>
      <w:r>
        <w:rPr>
          <w:sz w:val="24"/>
          <w:szCs w:val="24"/>
        </w:rPr>
        <w:t xml:space="preserve">. </w:t>
      </w:r>
      <w:r w:rsidR="4CF74205" w:rsidRPr="00393B8A">
        <w:rPr>
          <w:sz w:val="24"/>
          <w:szCs w:val="24"/>
        </w:rPr>
        <w:t>Guided assignments or annotated bibliographies might be a good preliminary step to help students identify and evaluate supporting evidence</w:t>
      </w:r>
      <w:r>
        <w:rPr>
          <w:sz w:val="24"/>
          <w:szCs w:val="24"/>
        </w:rPr>
        <w:t xml:space="preserve">. In addition, clear directions and examples </w:t>
      </w:r>
      <w:r w:rsidR="007877F1">
        <w:rPr>
          <w:sz w:val="24"/>
          <w:szCs w:val="24"/>
        </w:rPr>
        <w:t>make a positive impact on</w:t>
      </w:r>
      <w:r>
        <w:rPr>
          <w:sz w:val="24"/>
          <w:szCs w:val="24"/>
        </w:rPr>
        <w:t xml:space="preserve"> student performance. </w:t>
      </w:r>
      <w:r w:rsidR="001618DF" w:rsidRPr="00393B8A">
        <w:rPr>
          <w:sz w:val="24"/>
          <w:szCs w:val="24"/>
        </w:rPr>
        <w:t>Transparency in Learning and Teaching (TILT) efforts across campus will also be useful in making assignments more transparent and clear to students; faculty who are unfamiliar with TILT might consider atte</w:t>
      </w:r>
      <w:r w:rsidR="00582B90">
        <w:rPr>
          <w:sz w:val="24"/>
          <w:szCs w:val="24"/>
        </w:rPr>
        <w:t>nding a PDD event or visiting the TILT website (</w:t>
      </w:r>
      <w:hyperlink r:id="rId16" w:history="1">
        <w:r w:rsidR="00582B90" w:rsidRPr="003D32FD">
          <w:rPr>
            <w:rStyle w:val="Hyperlink"/>
            <w:sz w:val="24"/>
            <w:szCs w:val="24"/>
          </w:rPr>
          <w:t>https://tilthighered.com/</w:t>
        </w:r>
      </w:hyperlink>
      <w:r w:rsidR="00582B90">
        <w:t>)</w:t>
      </w:r>
      <w:r w:rsidR="00582B90">
        <w:rPr>
          <w:sz w:val="24"/>
          <w:szCs w:val="24"/>
        </w:rPr>
        <w:t xml:space="preserve"> to learn more</w:t>
      </w:r>
      <w:r w:rsidR="004C743E" w:rsidRPr="00393B8A">
        <w:rPr>
          <w:sz w:val="24"/>
          <w:szCs w:val="24"/>
        </w:rPr>
        <w:t xml:space="preserve">. </w:t>
      </w:r>
    </w:p>
    <w:p w14:paraId="108A1A53" w14:textId="1A3B7409" w:rsidR="003D32FD" w:rsidRDefault="4B754074" w:rsidP="4B754074">
      <w:pPr>
        <w:rPr>
          <w:sz w:val="24"/>
          <w:szCs w:val="24"/>
        </w:rPr>
      </w:pPr>
      <w:r w:rsidRPr="4B754074">
        <w:rPr>
          <w:sz w:val="24"/>
          <w:szCs w:val="24"/>
        </w:rPr>
        <w:t>Faculty librarians are also a good resource. Librarians can give guidance on assignment design, provide in-person library research workshops (find the library’s instruction request form here: http://goo.gl/forms/INXzLPG2Tb), design online library research modules for Canvas for online and hybrid classes, or create an on online research guide (</w:t>
      </w:r>
      <w:proofErr w:type="spellStart"/>
      <w:r w:rsidRPr="4B754074">
        <w:rPr>
          <w:sz w:val="24"/>
          <w:szCs w:val="24"/>
        </w:rPr>
        <w:t>LibGuide</w:t>
      </w:r>
      <w:proofErr w:type="spellEnd"/>
      <w:r w:rsidRPr="4B754074">
        <w:rPr>
          <w:sz w:val="24"/>
          <w:szCs w:val="24"/>
        </w:rPr>
        <w:t xml:space="preserve">) tailored for a specific class (see the libraries online research guides here for some examples: </w:t>
      </w:r>
      <w:hyperlink r:id="rId17">
        <w:r w:rsidRPr="4B754074">
          <w:rPr>
            <w:rStyle w:val="Hyperlink"/>
            <w:sz w:val="24"/>
            <w:szCs w:val="24"/>
          </w:rPr>
          <w:t>http://tacomacc.libguides.com/TCCLibrary/research-guides</w:t>
        </w:r>
      </w:hyperlink>
      <w:r w:rsidRPr="4B754074">
        <w:rPr>
          <w:sz w:val="24"/>
          <w:szCs w:val="24"/>
        </w:rPr>
        <w:t xml:space="preserve">). </w:t>
      </w:r>
    </w:p>
    <w:p w14:paraId="47D5E719" w14:textId="1F26148B" w:rsidR="003D32FD" w:rsidRPr="00393B8A" w:rsidRDefault="003D32FD" w:rsidP="00DA403C">
      <w:pPr>
        <w:rPr>
          <w:sz w:val="24"/>
          <w:szCs w:val="24"/>
        </w:rPr>
      </w:pPr>
      <w:r>
        <w:rPr>
          <w:sz w:val="24"/>
          <w:szCs w:val="24"/>
        </w:rPr>
        <w:t xml:space="preserve">Other important resources to help improve development of assignments include the Writing and Tutoring Center, TCC’s Instructional Designer, relevant PDD sessions, other faculty, the Instructional Assessment Steering Committee (IASC), and CLAC. </w:t>
      </w:r>
    </w:p>
    <w:p w14:paraId="3AB7A587" w14:textId="5F80BE76" w:rsidR="00FE4B8C" w:rsidRDefault="4B754074" w:rsidP="4B754074">
      <w:pPr>
        <w:rPr>
          <w:sz w:val="24"/>
          <w:szCs w:val="24"/>
        </w:rPr>
      </w:pPr>
      <w:r w:rsidRPr="4B754074">
        <w:rPr>
          <w:sz w:val="24"/>
          <w:szCs w:val="24"/>
        </w:rPr>
        <w:t>Additionally, faculty can use this report to help inform curriculum revisions in their classes/program or to as a starting point in creating their own assessment project around IIT.</w:t>
      </w:r>
    </w:p>
    <w:p w14:paraId="455F31B0" w14:textId="0F117D1A" w:rsidR="00386173" w:rsidRPr="00211D0B" w:rsidRDefault="4B754074" w:rsidP="4B754074">
      <w:pPr>
        <w:rPr>
          <w:sz w:val="24"/>
          <w:szCs w:val="24"/>
        </w:rPr>
      </w:pPr>
      <w:r w:rsidRPr="4B754074">
        <w:rPr>
          <w:sz w:val="24"/>
          <w:szCs w:val="24"/>
        </w:rPr>
        <w:t xml:space="preserve">Many of these recommendations mirror those made in 2011-12. To see that report, visit the TCC Instructional Assessment Canvas course here (see the Degree Learning Outcome Projects module): </w:t>
      </w:r>
      <w:hyperlink r:id="rId18">
        <w:r w:rsidRPr="4B754074">
          <w:rPr>
            <w:rStyle w:val="Hyperlink"/>
          </w:rPr>
          <w:t>https://tacomacc.instructure.com/courses/1299967</w:t>
        </w:r>
      </w:hyperlink>
    </w:p>
    <w:p w14:paraId="65493ABC" w14:textId="77777777" w:rsidR="00386173" w:rsidRPr="00393B8A" w:rsidRDefault="00386173" w:rsidP="00DA403C">
      <w:pPr>
        <w:rPr>
          <w:sz w:val="24"/>
          <w:szCs w:val="24"/>
        </w:rPr>
      </w:pPr>
    </w:p>
    <w:sectPr w:rsidR="00386173" w:rsidRPr="00393B8A" w:rsidSect="00332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C"/>
    <w:rsid w:val="000177C1"/>
    <w:rsid w:val="00020146"/>
    <w:rsid w:val="00020946"/>
    <w:rsid w:val="00047BD5"/>
    <w:rsid w:val="0009050C"/>
    <w:rsid w:val="000B3869"/>
    <w:rsid w:val="000D752B"/>
    <w:rsid w:val="000E364C"/>
    <w:rsid w:val="000F1559"/>
    <w:rsid w:val="00143494"/>
    <w:rsid w:val="00145D69"/>
    <w:rsid w:val="001618DF"/>
    <w:rsid w:val="001A0C28"/>
    <w:rsid w:val="001B3DEB"/>
    <w:rsid w:val="001B7A81"/>
    <w:rsid w:val="00216A58"/>
    <w:rsid w:val="0028331D"/>
    <w:rsid w:val="00286D1E"/>
    <w:rsid w:val="002969B4"/>
    <w:rsid w:val="002A6AAC"/>
    <w:rsid w:val="002D4117"/>
    <w:rsid w:val="002F1C2B"/>
    <w:rsid w:val="00302B03"/>
    <w:rsid w:val="00303D6C"/>
    <w:rsid w:val="00322EF8"/>
    <w:rsid w:val="00330C3F"/>
    <w:rsid w:val="00332033"/>
    <w:rsid w:val="00346E9C"/>
    <w:rsid w:val="00386173"/>
    <w:rsid w:val="00387083"/>
    <w:rsid w:val="00393B8A"/>
    <w:rsid w:val="003B3911"/>
    <w:rsid w:val="003C1118"/>
    <w:rsid w:val="003D32FD"/>
    <w:rsid w:val="003E55F5"/>
    <w:rsid w:val="004002BE"/>
    <w:rsid w:val="00400C95"/>
    <w:rsid w:val="00442FEE"/>
    <w:rsid w:val="00447595"/>
    <w:rsid w:val="00467944"/>
    <w:rsid w:val="00473DA4"/>
    <w:rsid w:val="00483A6E"/>
    <w:rsid w:val="004870AC"/>
    <w:rsid w:val="00495F5A"/>
    <w:rsid w:val="004A12A8"/>
    <w:rsid w:val="004C49A7"/>
    <w:rsid w:val="004C5A8A"/>
    <w:rsid w:val="004C743E"/>
    <w:rsid w:val="004D2EF5"/>
    <w:rsid w:val="005039CB"/>
    <w:rsid w:val="00517FE7"/>
    <w:rsid w:val="00545C12"/>
    <w:rsid w:val="00545E7B"/>
    <w:rsid w:val="00582B90"/>
    <w:rsid w:val="00584A13"/>
    <w:rsid w:val="00585B6D"/>
    <w:rsid w:val="005957EE"/>
    <w:rsid w:val="005A5E8C"/>
    <w:rsid w:val="005C493B"/>
    <w:rsid w:val="005F0FD6"/>
    <w:rsid w:val="006018DF"/>
    <w:rsid w:val="00614AC4"/>
    <w:rsid w:val="00620E16"/>
    <w:rsid w:val="006337D1"/>
    <w:rsid w:val="00673D50"/>
    <w:rsid w:val="006A78C2"/>
    <w:rsid w:val="006E6C1C"/>
    <w:rsid w:val="0070053E"/>
    <w:rsid w:val="00701B35"/>
    <w:rsid w:val="00707A88"/>
    <w:rsid w:val="00765096"/>
    <w:rsid w:val="007870AF"/>
    <w:rsid w:val="007877F1"/>
    <w:rsid w:val="00802CA4"/>
    <w:rsid w:val="00821831"/>
    <w:rsid w:val="0083531C"/>
    <w:rsid w:val="008426FA"/>
    <w:rsid w:val="00842BFB"/>
    <w:rsid w:val="008757B6"/>
    <w:rsid w:val="008A6DCD"/>
    <w:rsid w:val="008B3F2E"/>
    <w:rsid w:val="008F1811"/>
    <w:rsid w:val="00912846"/>
    <w:rsid w:val="0092688A"/>
    <w:rsid w:val="00932837"/>
    <w:rsid w:val="00952233"/>
    <w:rsid w:val="00953F02"/>
    <w:rsid w:val="00957424"/>
    <w:rsid w:val="00975763"/>
    <w:rsid w:val="009776EC"/>
    <w:rsid w:val="00987128"/>
    <w:rsid w:val="009C673D"/>
    <w:rsid w:val="009F1988"/>
    <w:rsid w:val="009F780E"/>
    <w:rsid w:val="00A55DD8"/>
    <w:rsid w:val="00AA25AA"/>
    <w:rsid w:val="00AA6713"/>
    <w:rsid w:val="00AB1B44"/>
    <w:rsid w:val="00AC1D24"/>
    <w:rsid w:val="00B04934"/>
    <w:rsid w:val="00B1323B"/>
    <w:rsid w:val="00B5797C"/>
    <w:rsid w:val="00C07C85"/>
    <w:rsid w:val="00C10969"/>
    <w:rsid w:val="00C26736"/>
    <w:rsid w:val="00C36E80"/>
    <w:rsid w:val="00C46476"/>
    <w:rsid w:val="00C46B9C"/>
    <w:rsid w:val="00C53B33"/>
    <w:rsid w:val="00C9362F"/>
    <w:rsid w:val="00CC46E3"/>
    <w:rsid w:val="00CD1014"/>
    <w:rsid w:val="00CD390C"/>
    <w:rsid w:val="00CE08AA"/>
    <w:rsid w:val="00CE42DB"/>
    <w:rsid w:val="00D60A54"/>
    <w:rsid w:val="00D97440"/>
    <w:rsid w:val="00DA403C"/>
    <w:rsid w:val="00DA687E"/>
    <w:rsid w:val="00DC0C88"/>
    <w:rsid w:val="00DD66DA"/>
    <w:rsid w:val="00DF116D"/>
    <w:rsid w:val="00DF21B9"/>
    <w:rsid w:val="00DF626F"/>
    <w:rsid w:val="00E243DA"/>
    <w:rsid w:val="00E316A8"/>
    <w:rsid w:val="00E33AA4"/>
    <w:rsid w:val="00E43157"/>
    <w:rsid w:val="00E45C8E"/>
    <w:rsid w:val="00E54A6A"/>
    <w:rsid w:val="00E9206A"/>
    <w:rsid w:val="00EA46C3"/>
    <w:rsid w:val="00F061E1"/>
    <w:rsid w:val="00F2426E"/>
    <w:rsid w:val="00FA5D39"/>
    <w:rsid w:val="00FC0F5C"/>
    <w:rsid w:val="00FD286A"/>
    <w:rsid w:val="00FD4FBA"/>
    <w:rsid w:val="00FE4B8C"/>
    <w:rsid w:val="38A64F5D"/>
    <w:rsid w:val="39331FE6"/>
    <w:rsid w:val="4B754074"/>
    <w:rsid w:val="4CF74205"/>
    <w:rsid w:val="6BE44042"/>
    <w:rsid w:val="788BF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C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4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A5E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E8C"/>
    <w:rPr>
      <w:rFonts w:ascii="Lucida Grande" w:hAnsi="Lucida Grande"/>
      <w:sz w:val="18"/>
      <w:szCs w:val="18"/>
    </w:rPr>
  </w:style>
  <w:style w:type="paragraph" w:customStyle="1" w:styleId="paragraph">
    <w:name w:val="paragraph"/>
    <w:basedOn w:val="Normal"/>
    <w:rsid w:val="008A6DCD"/>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8A6DCD"/>
  </w:style>
  <w:style w:type="character" w:customStyle="1" w:styleId="eop">
    <w:name w:val="eop"/>
    <w:basedOn w:val="DefaultParagraphFont"/>
    <w:rsid w:val="008A6DCD"/>
  </w:style>
  <w:style w:type="character" w:styleId="Hyperlink">
    <w:name w:val="Hyperlink"/>
    <w:basedOn w:val="DefaultParagraphFont"/>
    <w:uiPriority w:val="99"/>
    <w:unhideWhenUsed/>
    <w:rsid w:val="00346E9C"/>
    <w:rPr>
      <w:color w:val="0000FF" w:themeColor="hyperlink"/>
      <w:u w:val="single"/>
    </w:rPr>
  </w:style>
  <w:style w:type="character" w:customStyle="1" w:styleId="Heading2Char">
    <w:name w:val="Heading 2 Char"/>
    <w:basedOn w:val="DefaultParagraphFont"/>
    <w:link w:val="Heading2"/>
    <w:uiPriority w:val="9"/>
    <w:rsid w:val="00E243D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93B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243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A5E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E8C"/>
    <w:rPr>
      <w:rFonts w:ascii="Lucida Grande" w:hAnsi="Lucida Grande"/>
      <w:sz w:val="18"/>
      <w:szCs w:val="18"/>
    </w:rPr>
  </w:style>
  <w:style w:type="paragraph" w:customStyle="1" w:styleId="paragraph">
    <w:name w:val="paragraph"/>
    <w:basedOn w:val="Normal"/>
    <w:rsid w:val="008A6DCD"/>
    <w:pPr>
      <w:spacing w:before="100" w:beforeAutospacing="1" w:after="100" w:afterAutospacing="1" w:line="240" w:lineRule="auto"/>
    </w:pPr>
    <w:rPr>
      <w:rFonts w:ascii="Times" w:hAnsi="Times"/>
      <w:sz w:val="20"/>
      <w:szCs w:val="20"/>
    </w:rPr>
  </w:style>
  <w:style w:type="character" w:customStyle="1" w:styleId="normaltextrun">
    <w:name w:val="normaltextrun"/>
    <w:basedOn w:val="DefaultParagraphFont"/>
    <w:rsid w:val="008A6DCD"/>
  </w:style>
  <w:style w:type="character" w:customStyle="1" w:styleId="eop">
    <w:name w:val="eop"/>
    <w:basedOn w:val="DefaultParagraphFont"/>
    <w:rsid w:val="008A6DCD"/>
  </w:style>
  <w:style w:type="character" w:styleId="Hyperlink">
    <w:name w:val="Hyperlink"/>
    <w:basedOn w:val="DefaultParagraphFont"/>
    <w:uiPriority w:val="99"/>
    <w:unhideWhenUsed/>
    <w:rsid w:val="00346E9C"/>
    <w:rPr>
      <w:color w:val="0000FF" w:themeColor="hyperlink"/>
      <w:u w:val="single"/>
    </w:rPr>
  </w:style>
  <w:style w:type="character" w:customStyle="1" w:styleId="Heading2Char">
    <w:name w:val="Heading 2 Char"/>
    <w:basedOn w:val="DefaultParagraphFont"/>
    <w:link w:val="Heading2"/>
    <w:uiPriority w:val="9"/>
    <w:rsid w:val="00E243DA"/>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393B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08784">
      <w:bodyDiv w:val="1"/>
      <w:marLeft w:val="0"/>
      <w:marRight w:val="0"/>
      <w:marTop w:val="0"/>
      <w:marBottom w:val="0"/>
      <w:divBdr>
        <w:top w:val="none" w:sz="0" w:space="0" w:color="auto"/>
        <w:left w:val="none" w:sz="0" w:space="0" w:color="auto"/>
        <w:bottom w:val="none" w:sz="0" w:space="0" w:color="auto"/>
        <w:right w:val="none" w:sz="0" w:space="0" w:color="auto"/>
      </w:divBdr>
      <w:divsChild>
        <w:div w:id="656500380">
          <w:marLeft w:val="0"/>
          <w:marRight w:val="0"/>
          <w:marTop w:val="0"/>
          <w:marBottom w:val="0"/>
          <w:divBdr>
            <w:top w:val="none" w:sz="0" w:space="0" w:color="auto"/>
            <w:left w:val="none" w:sz="0" w:space="0" w:color="auto"/>
            <w:bottom w:val="none" w:sz="0" w:space="0" w:color="auto"/>
            <w:right w:val="none" w:sz="0" w:space="0" w:color="auto"/>
          </w:divBdr>
        </w:div>
        <w:div w:id="131873524">
          <w:marLeft w:val="0"/>
          <w:marRight w:val="0"/>
          <w:marTop w:val="0"/>
          <w:marBottom w:val="0"/>
          <w:divBdr>
            <w:top w:val="none" w:sz="0" w:space="0" w:color="auto"/>
            <w:left w:val="none" w:sz="0" w:space="0" w:color="auto"/>
            <w:bottom w:val="none" w:sz="0" w:space="0" w:color="auto"/>
            <w:right w:val="none" w:sz="0" w:space="0" w:color="auto"/>
          </w:divBdr>
        </w:div>
        <w:div w:id="1104962901">
          <w:marLeft w:val="0"/>
          <w:marRight w:val="0"/>
          <w:marTop w:val="0"/>
          <w:marBottom w:val="0"/>
          <w:divBdr>
            <w:top w:val="none" w:sz="0" w:space="0" w:color="auto"/>
            <w:left w:val="none" w:sz="0" w:space="0" w:color="auto"/>
            <w:bottom w:val="none" w:sz="0" w:space="0" w:color="auto"/>
            <w:right w:val="none" w:sz="0" w:space="0" w:color="auto"/>
          </w:divBdr>
        </w:div>
        <w:div w:id="37321308">
          <w:marLeft w:val="0"/>
          <w:marRight w:val="0"/>
          <w:marTop w:val="0"/>
          <w:marBottom w:val="0"/>
          <w:divBdr>
            <w:top w:val="none" w:sz="0" w:space="0" w:color="auto"/>
            <w:left w:val="none" w:sz="0" w:space="0" w:color="auto"/>
            <w:bottom w:val="none" w:sz="0" w:space="0" w:color="auto"/>
            <w:right w:val="none" w:sz="0" w:space="0" w:color="auto"/>
          </w:divBdr>
        </w:div>
        <w:div w:id="1525173651">
          <w:marLeft w:val="0"/>
          <w:marRight w:val="0"/>
          <w:marTop w:val="0"/>
          <w:marBottom w:val="0"/>
          <w:divBdr>
            <w:top w:val="none" w:sz="0" w:space="0" w:color="auto"/>
            <w:left w:val="none" w:sz="0" w:space="0" w:color="auto"/>
            <w:bottom w:val="none" w:sz="0" w:space="0" w:color="auto"/>
            <w:right w:val="none" w:sz="0" w:space="0" w:color="auto"/>
          </w:divBdr>
        </w:div>
        <w:div w:id="707723539">
          <w:marLeft w:val="0"/>
          <w:marRight w:val="0"/>
          <w:marTop w:val="0"/>
          <w:marBottom w:val="0"/>
          <w:divBdr>
            <w:top w:val="none" w:sz="0" w:space="0" w:color="auto"/>
            <w:left w:val="none" w:sz="0" w:space="0" w:color="auto"/>
            <w:bottom w:val="none" w:sz="0" w:space="0" w:color="auto"/>
            <w:right w:val="none" w:sz="0" w:space="0" w:color="auto"/>
          </w:divBdr>
        </w:div>
        <w:div w:id="963727832">
          <w:marLeft w:val="0"/>
          <w:marRight w:val="0"/>
          <w:marTop w:val="0"/>
          <w:marBottom w:val="0"/>
          <w:divBdr>
            <w:top w:val="none" w:sz="0" w:space="0" w:color="auto"/>
            <w:left w:val="none" w:sz="0" w:space="0" w:color="auto"/>
            <w:bottom w:val="none" w:sz="0" w:space="0" w:color="auto"/>
            <w:right w:val="none" w:sz="0" w:space="0" w:color="auto"/>
          </w:divBdr>
        </w:div>
        <w:div w:id="1662344584">
          <w:marLeft w:val="0"/>
          <w:marRight w:val="0"/>
          <w:marTop w:val="0"/>
          <w:marBottom w:val="0"/>
          <w:divBdr>
            <w:top w:val="none" w:sz="0" w:space="0" w:color="auto"/>
            <w:left w:val="none" w:sz="0" w:space="0" w:color="auto"/>
            <w:bottom w:val="none" w:sz="0" w:space="0" w:color="auto"/>
            <w:right w:val="none" w:sz="0" w:space="0" w:color="auto"/>
          </w:divBdr>
        </w:div>
      </w:divsChild>
    </w:div>
    <w:div w:id="1291396833">
      <w:bodyDiv w:val="1"/>
      <w:marLeft w:val="0"/>
      <w:marRight w:val="0"/>
      <w:marTop w:val="0"/>
      <w:marBottom w:val="0"/>
      <w:divBdr>
        <w:top w:val="none" w:sz="0" w:space="0" w:color="auto"/>
        <w:left w:val="none" w:sz="0" w:space="0" w:color="auto"/>
        <w:bottom w:val="none" w:sz="0" w:space="0" w:color="auto"/>
        <w:right w:val="none" w:sz="0" w:space="0" w:color="auto"/>
      </w:divBdr>
    </w:div>
    <w:div w:id="1484198540">
      <w:bodyDiv w:val="1"/>
      <w:marLeft w:val="0"/>
      <w:marRight w:val="0"/>
      <w:marTop w:val="0"/>
      <w:marBottom w:val="0"/>
      <w:divBdr>
        <w:top w:val="none" w:sz="0" w:space="0" w:color="auto"/>
        <w:left w:val="none" w:sz="0" w:space="0" w:color="auto"/>
        <w:bottom w:val="none" w:sz="0" w:space="0" w:color="auto"/>
        <w:right w:val="none" w:sz="0" w:space="0" w:color="auto"/>
      </w:divBdr>
      <w:divsChild>
        <w:div w:id="1353143860">
          <w:marLeft w:val="0"/>
          <w:marRight w:val="0"/>
          <w:marTop w:val="0"/>
          <w:marBottom w:val="0"/>
          <w:divBdr>
            <w:top w:val="none" w:sz="0" w:space="0" w:color="auto"/>
            <w:left w:val="none" w:sz="0" w:space="0" w:color="auto"/>
            <w:bottom w:val="none" w:sz="0" w:space="0" w:color="auto"/>
            <w:right w:val="none" w:sz="0" w:space="0" w:color="auto"/>
          </w:divBdr>
        </w:div>
        <w:div w:id="637497764">
          <w:marLeft w:val="0"/>
          <w:marRight w:val="0"/>
          <w:marTop w:val="0"/>
          <w:marBottom w:val="0"/>
          <w:divBdr>
            <w:top w:val="none" w:sz="0" w:space="0" w:color="auto"/>
            <w:left w:val="none" w:sz="0" w:space="0" w:color="auto"/>
            <w:bottom w:val="none" w:sz="0" w:space="0" w:color="auto"/>
            <w:right w:val="none" w:sz="0" w:space="0" w:color="auto"/>
          </w:divBdr>
        </w:div>
      </w:divsChild>
    </w:div>
    <w:div w:id="2080444529">
      <w:bodyDiv w:val="1"/>
      <w:marLeft w:val="0"/>
      <w:marRight w:val="0"/>
      <w:marTop w:val="0"/>
      <w:marBottom w:val="0"/>
      <w:divBdr>
        <w:top w:val="none" w:sz="0" w:space="0" w:color="auto"/>
        <w:left w:val="none" w:sz="0" w:space="0" w:color="auto"/>
        <w:bottom w:val="none" w:sz="0" w:space="0" w:color="auto"/>
        <w:right w:val="none" w:sz="0" w:space="0" w:color="auto"/>
      </w:divBdr>
      <w:divsChild>
        <w:div w:id="369231663">
          <w:marLeft w:val="0"/>
          <w:marRight w:val="0"/>
          <w:marTop w:val="0"/>
          <w:marBottom w:val="0"/>
          <w:divBdr>
            <w:top w:val="none" w:sz="0" w:space="0" w:color="auto"/>
            <w:left w:val="none" w:sz="0" w:space="0" w:color="auto"/>
            <w:bottom w:val="none" w:sz="0" w:space="0" w:color="auto"/>
            <w:right w:val="none" w:sz="0" w:space="0" w:color="auto"/>
          </w:divBdr>
        </w:div>
        <w:div w:id="247425842">
          <w:marLeft w:val="0"/>
          <w:marRight w:val="0"/>
          <w:marTop w:val="0"/>
          <w:marBottom w:val="0"/>
          <w:divBdr>
            <w:top w:val="none" w:sz="0" w:space="0" w:color="auto"/>
            <w:left w:val="none" w:sz="0" w:space="0" w:color="auto"/>
            <w:bottom w:val="none" w:sz="0" w:space="0" w:color="auto"/>
            <w:right w:val="none" w:sz="0" w:space="0" w:color="auto"/>
          </w:divBdr>
        </w:div>
        <w:div w:id="36413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hyperlink" Target="https://tilthighered.com/" TargetMode="External"/><Relationship Id="rId17" Type="http://schemas.openxmlformats.org/officeDocument/2006/relationships/hyperlink" Target="http://tacomacc.libguides.com/TCCLibrary/research-guides" TargetMode="External"/><Relationship Id="rId18" Type="http://schemas.openxmlformats.org/officeDocument/2006/relationships/hyperlink" Target="https://tacomacc.instructure.com/courses/1299967"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ilesvr.tccnet.edu\homedirs\hgillanders\Assessment\CLAC\DLO_assessment\DLO%20Assessment%20Results\IIT%202019%20data\IIT%20Assessment%20Results%202019_HG_CJ.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filesvr.tccnet.edu\homedirs\hgillanders\Assessment\CLAC\DLO_assessment\DLO%20Assessment%20Results\IIT%202019%20data\IIT%20Assessment%20Results%202019_HG_CJ.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filesvr.tccnet.edu\homedirs\hgillanders\Assessment\CLAC\DLO_assessment\DLO%20Assessment%20Results\IIT%202019%20data\IIT%20Assessment%20Results%202019_HG_CJ.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FileSvr\homedirs\hgillanders\Assessment\CLAC\DLO_assessment\DLO%20Assessment%20Results\IIT%202019%20data\IIT%20Assessment%20Results%202019_HG_CJ.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FileSvr\homedirs\hgillanders\Assessment\CLAC\DLO_assessment\DLO%20Assessment%20Results\IIT%202019%20data\IIT%20Assessment%20Results%202019_HG_CJ.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filesvr.tccnet.edu\homedirs\hgillanders\Assessment\CLAC\DLO_assessment\DLO%20Assessment%20Results\IIT%202019%20data\IIT%20Assessment%20Results%202019_HG_CJ.xlsx" TargetMode="Externa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filesvr.tccnet.edu\homedirs\hgillanders\Assessment\CLAC\DLO_assessment\DLO%20Assessment%20Results\IIT%202019%20data\IIT%20Assessment%20Results%202019_HG_CJ.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lvl="0">
              <a:defRPr b="0"/>
            </a:pPr>
            <a:r>
              <a:rPr lang="en-US" sz="1600" b="0"/>
              <a:t>IIT Scoring Results</a:t>
            </a:r>
          </a:p>
          <a:p>
            <a:pPr lvl="0">
              <a:defRPr b="0"/>
            </a:pPr>
            <a:r>
              <a:rPr lang="en-US" sz="1600" b="0"/>
              <a:t>All Data</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'All data'!$G$364</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'All data'!$H$363:$K$363</c:f>
              <c:strCache>
                <c:ptCount val="4"/>
                <c:pt idx="0">
                  <c:v>Relevance</c:v>
                </c:pt>
                <c:pt idx="1">
                  <c:v>Currency</c:v>
                </c:pt>
                <c:pt idx="2">
                  <c:v>Authority</c:v>
                </c:pt>
                <c:pt idx="3">
                  <c:v>Ethical</c:v>
                </c:pt>
              </c:strCache>
            </c:strRef>
          </c:cat>
          <c:val>
            <c:numRef>
              <c:f>'All data'!$H$364:$K$364</c:f>
              <c:numCache>
                <c:formatCode>#,##0.00</c:formatCode>
                <c:ptCount val="4"/>
                <c:pt idx="0">
                  <c:v>3.348189415041783</c:v>
                </c:pt>
                <c:pt idx="1">
                  <c:v>3.338983050847458</c:v>
                </c:pt>
                <c:pt idx="2">
                  <c:v>3.172701949860724</c:v>
                </c:pt>
                <c:pt idx="3">
                  <c:v>2.835654596100278</c:v>
                </c:pt>
              </c:numCache>
            </c:numRef>
          </c:val>
          <c:extLst xmlns:c16r2="http://schemas.microsoft.com/office/drawing/2015/06/chart">
            <c:ext xmlns:c16="http://schemas.microsoft.com/office/drawing/2014/chart" uri="{C3380CC4-5D6E-409C-BE32-E72D297353CC}">
              <c16:uniqueId val="{00000000-5397-4CAB-8ECC-E02480EF5F2F}"/>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5050920"/>
        <c:axId val="-2135085432"/>
      </c:barChart>
      <c:catAx>
        <c:axId val="-2135050920"/>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5085432"/>
        <c:crosses val="autoZero"/>
        <c:auto val="1"/>
        <c:lblAlgn val="ctr"/>
        <c:lblOffset val="100"/>
        <c:noMultiLvlLbl val="1"/>
      </c:catAx>
      <c:valAx>
        <c:axId val="-2135085432"/>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5050920"/>
        <c:crosses val="autoZero"/>
        <c:crossBetween val="between"/>
      </c:valAx>
    </c:plotArea>
    <c:plotVisOnly val="1"/>
    <c:dispBlanksAs val="zero"/>
    <c:showDLblsOverMax val="1"/>
  </c:chart>
  <c:spPr>
    <a:ln>
      <a:solidFill>
        <a:schemeClr val="tx1"/>
      </a:solid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IIT Scoring Results</a:t>
            </a:r>
          </a:p>
          <a:p>
            <a:pPr lvl="0">
              <a:defRPr b="0"/>
            </a:pPr>
            <a:r>
              <a:rPr lang="en-US"/>
              <a:t>Celebration of Learning (CoL) Only</a:t>
            </a:r>
          </a:p>
        </c:rich>
      </c:tx>
      <c:layout>
        <c:manualLayout>
          <c:xMode val="edge"/>
          <c:yMode val="edge"/>
          <c:x val="0.295087777802488"/>
          <c:y val="0.0161365190835185"/>
        </c:manualLayout>
      </c:layout>
      <c:overlay val="0"/>
    </c:title>
    <c:autoTitleDeleted val="0"/>
    <c:plotArea>
      <c:layout/>
      <c:barChart>
        <c:barDir val="col"/>
        <c:grouping val="clustered"/>
        <c:varyColors val="1"/>
        <c:ser>
          <c:idx val="0"/>
          <c:order val="0"/>
          <c:tx>
            <c:strRef>
              <c:f>'Data CoL only'!$G$37</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CoL only'!$H$36:$K$36</c:f>
              <c:strCache>
                <c:ptCount val="4"/>
                <c:pt idx="0">
                  <c:v>Relevance</c:v>
                </c:pt>
                <c:pt idx="1">
                  <c:v>Currency</c:v>
                </c:pt>
                <c:pt idx="2">
                  <c:v>Authority</c:v>
                </c:pt>
                <c:pt idx="3">
                  <c:v>Ethical</c:v>
                </c:pt>
              </c:strCache>
            </c:strRef>
          </c:cat>
          <c:val>
            <c:numRef>
              <c:f>'Data CoL only'!$H$37:$K$37</c:f>
              <c:numCache>
                <c:formatCode>#,##0.00</c:formatCode>
                <c:ptCount val="4"/>
                <c:pt idx="0">
                  <c:v>3.606060606060606</c:v>
                </c:pt>
                <c:pt idx="1">
                  <c:v>3.642857142857143</c:v>
                </c:pt>
                <c:pt idx="2">
                  <c:v>3.454545454545454</c:v>
                </c:pt>
                <c:pt idx="3">
                  <c:v>3.393939393939394</c:v>
                </c:pt>
              </c:numCache>
            </c:numRef>
          </c:val>
          <c:extLst xmlns:c16r2="http://schemas.microsoft.com/office/drawing/2015/06/chart">
            <c:ext xmlns:c16="http://schemas.microsoft.com/office/drawing/2014/chart" uri="{C3380CC4-5D6E-409C-BE32-E72D297353CC}">
              <c16:uniqueId val="{00000000-E05F-4C93-9BC6-251998374EE4}"/>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087864984"/>
        <c:axId val="2087753352"/>
      </c:barChart>
      <c:catAx>
        <c:axId val="208786498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087753352"/>
        <c:crosses val="autoZero"/>
        <c:auto val="1"/>
        <c:lblAlgn val="ctr"/>
        <c:lblOffset val="100"/>
        <c:noMultiLvlLbl val="1"/>
      </c:catAx>
      <c:valAx>
        <c:axId val="2087753352"/>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endParaRPr lang="en-US" b="1"/>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08786498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IIT Scoring Results</a:t>
            </a:r>
          </a:p>
          <a:p>
            <a:pPr lvl="0">
              <a:defRPr b="0"/>
            </a:pPr>
            <a:r>
              <a:rPr lang="en-US"/>
              <a:t>All except CoL</a:t>
            </a:r>
          </a:p>
        </c:rich>
      </c:tx>
      <c:layout>
        <c:manualLayout>
          <c:xMode val="edge"/>
          <c:yMode val="edge"/>
          <c:x val="0.387282903294907"/>
          <c:y val="0.0161365190835185"/>
        </c:manualLayout>
      </c:layout>
      <c:overlay val="0"/>
    </c:title>
    <c:autoTitleDeleted val="0"/>
    <c:plotArea>
      <c:layout/>
      <c:barChart>
        <c:barDir val="col"/>
        <c:grouping val="clustered"/>
        <c:varyColors val="1"/>
        <c:ser>
          <c:idx val="0"/>
          <c:order val="0"/>
          <c:tx>
            <c:strRef>
              <c:f>'Data All except CoL'!$F$330</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All except CoL'!$G$329:$J$329</c:f>
              <c:strCache>
                <c:ptCount val="4"/>
                <c:pt idx="0">
                  <c:v>Relevance</c:v>
                </c:pt>
                <c:pt idx="1">
                  <c:v>Currency</c:v>
                </c:pt>
                <c:pt idx="2">
                  <c:v>Authority</c:v>
                </c:pt>
                <c:pt idx="3">
                  <c:v>Ethical</c:v>
                </c:pt>
              </c:strCache>
            </c:strRef>
          </c:cat>
          <c:val>
            <c:numRef>
              <c:f>'Data All except CoL'!$G$330:$J$330</c:f>
              <c:numCache>
                <c:formatCode>#,##0.00</c:formatCode>
                <c:ptCount val="4"/>
                <c:pt idx="0">
                  <c:v>3.322085889570552</c:v>
                </c:pt>
                <c:pt idx="1">
                  <c:v>3.312883435582821</c:v>
                </c:pt>
                <c:pt idx="2">
                  <c:v>3.144171779141104</c:v>
                </c:pt>
                <c:pt idx="3">
                  <c:v>2.779141104294478</c:v>
                </c:pt>
              </c:numCache>
            </c:numRef>
          </c:val>
          <c:extLst xmlns:c16r2="http://schemas.microsoft.com/office/drawing/2015/06/chart">
            <c:ext xmlns:c16="http://schemas.microsoft.com/office/drawing/2014/chart" uri="{C3380CC4-5D6E-409C-BE32-E72D297353CC}">
              <c16:uniqueId val="{00000000-7C02-49AB-AFCD-9A1F6C0D92AE}"/>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035106424"/>
        <c:axId val="2034609336"/>
      </c:barChart>
      <c:catAx>
        <c:axId val="203510642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034609336"/>
        <c:crosses val="autoZero"/>
        <c:auto val="1"/>
        <c:lblAlgn val="ctr"/>
        <c:lblOffset val="100"/>
        <c:noMultiLvlLbl val="1"/>
      </c:catAx>
      <c:valAx>
        <c:axId val="2034609336"/>
        <c:scaling>
          <c:orientation val="minMax"/>
          <c:max val="4.0"/>
          <c:min val="1.0"/>
        </c:scaling>
        <c:delete val="0"/>
        <c:axPos val="l"/>
        <c:majorGridlines>
          <c:spPr>
            <a:ln>
              <a:solidFill>
                <a:srgbClr val="B7B7B7"/>
              </a:solidFill>
            </a:ln>
          </c:spPr>
        </c:majorGridlines>
        <c:title>
          <c:tx>
            <c:rich>
              <a:bodyPr/>
              <a:lstStyle/>
              <a:p>
                <a:pPr lvl="0">
                  <a:defRPr b="0"/>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03510642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IIT Scoring Results</a:t>
            </a:r>
          </a:p>
          <a:p>
            <a:pPr lvl="0">
              <a:defRPr b="0"/>
            </a:pPr>
            <a:r>
              <a:rPr lang="en-US"/>
              <a:t>100 Level Only</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100 Level Only'!$G$108</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100 Level Only'!$H$107:$K$107</c:f>
              <c:strCache>
                <c:ptCount val="4"/>
                <c:pt idx="0">
                  <c:v>Relevance</c:v>
                </c:pt>
                <c:pt idx="1">
                  <c:v>Currency</c:v>
                </c:pt>
                <c:pt idx="2">
                  <c:v>Authority</c:v>
                </c:pt>
                <c:pt idx="3">
                  <c:v>Ethical</c:v>
                </c:pt>
              </c:strCache>
            </c:strRef>
          </c:cat>
          <c:val>
            <c:numRef>
              <c:f>'Data 100 Level Only'!$H$108:$K$108</c:f>
              <c:numCache>
                <c:formatCode>#,##0.00</c:formatCode>
                <c:ptCount val="4"/>
                <c:pt idx="0">
                  <c:v>3.194174757281554</c:v>
                </c:pt>
                <c:pt idx="1">
                  <c:v>3.214285714285714</c:v>
                </c:pt>
                <c:pt idx="2">
                  <c:v>2.961165048543689</c:v>
                </c:pt>
                <c:pt idx="3">
                  <c:v>2.728155339805825</c:v>
                </c:pt>
              </c:numCache>
            </c:numRef>
          </c:val>
          <c:extLst xmlns:c16r2="http://schemas.microsoft.com/office/drawing/2015/06/chart">
            <c:ext xmlns:c16="http://schemas.microsoft.com/office/drawing/2014/chart" uri="{C3380CC4-5D6E-409C-BE32-E72D297353CC}">
              <c16:uniqueId val="{00000000-7F63-46A1-93D3-FCE51BDFEDF2}"/>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5030280"/>
        <c:axId val="-2135027160"/>
      </c:barChart>
      <c:catAx>
        <c:axId val="-2135030280"/>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5027160"/>
        <c:crosses val="autoZero"/>
        <c:auto val="1"/>
        <c:lblAlgn val="ctr"/>
        <c:lblOffset val="100"/>
        <c:noMultiLvlLbl val="1"/>
      </c:catAx>
      <c:valAx>
        <c:axId val="-2135027160"/>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layout>
            <c:manualLayout>
              <c:xMode val="edge"/>
              <c:yMode val="edge"/>
              <c:x val="0.010243902832491"/>
              <c:y val="0.494847852569197"/>
            </c:manualLayout>
          </c:layout>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5030280"/>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b="0"/>
              <a:t>IIT Scoring Results</a:t>
            </a:r>
          </a:p>
          <a:p>
            <a:pPr lvl="0">
              <a:defRPr b="0"/>
            </a:pPr>
            <a:r>
              <a:rPr lang="en-US" b="0"/>
              <a:t>200 Level Only</a:t>
            </a:r>
          </a:p>
        </c:rich>
      </c:tx>
      <c:layout>
        <c:manualLayout>
          <c:xMode val="edge"/>
          <c:yMode val="edge"/>
          <c:x val="0.418014594329555"/>
          <c:y val="0.0121028744326778"/>
        </c:manualLayout>
      </c:layout>
      <c:overlay val="0"/>
    </c:title>
    <c:autoTitleDeleted val="0"/>
    <c:plotArea>
      <c:layout/>
      <c:barChart>
        <c:barDir val="col"/>
        <c:grouping val="clustered"/>
        <c:varyColors val="1"/>
        <c:ser>
          <c:idx val="0"/>
          <c:order val="0"/>
          <c:tx>
            <c:strRef>
              <c:f>'Data 200 Level Only'!$G$250</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200 Level Only'!$H$249:$K$249</c:f>
              <c:strCache>
                <c:ptCount val="4"/>
                <c:pt idx="0">
                  <c:v>Relevance</c:v>
                </c:pt>
                <c:pt idx="1">
                  <c:v>Currency</c:v>
                </c:pt>
                <c:pt idx="2">
                  <c:v>Authority</c:v>
                </c:pt>
                <c:pt idx="3">
                  <c:v>Ethical</c:v>
                </c:pt>
              </c:strCache>
            </c:strRef>
          </c:cat>
          <c:val>
            <c:numRef>
              <c:f>'Data 200 Level Only'!$H$250:$K$250</c:f>
              <c:numCache>
                <c:formatCode>#,##0.00</c:formatCode>
                <c:ptCount val="4"/>
                <c:pt idx="0">
                  <c:v>3.444897959183673</c:v>
                </c:pt>
                <c:pt idx="1">
                  <c:v>3.440816326530612</c:v>
                </c:pt>
                <c:pt idx="2">
                  <c:v>3.318367346938775</c:v>
                </c:pt>
                <c:pt idx="3">
                  <c:v>2.938775510204081</c:v>
                </c:pt>
              </c:numCache>
            </c:numRef>
          </c:val>
          <c:extLst xmlns:c16r2="http://schemas.microsoft.com/office/drawing/2015/06/chart">
            <c:ext xmlns:c16="http://schemas.microsoft.com/office/drawing/2014/chart" uri="{C3380CC4-5D6E-409C-BE32-E72D297353CC}">
              <c16:uniqueId val="{00000000-EE72-4D7C-87FB-68C07C638E94}"/>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5052088"/>
        <c:axId val="2035114760"/>
      </c:barChart>
      <c:catAx>
        <c:axId val="-2135052088"/>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035114760"/>
        <c:crosses val="autoZero"/>
        <c:auto val="1"/>
        <c:lblAlgn val="ctr"/>
        <c:lblOffset val="100"/>
        <c:noMultiLvlLbl val="1"/>
      </c:catAx>
      <c:valAx>
        <c:axId val="2035114760"/>
        <c:scaling>
          <c:orientation val="minMax"/>
          <c:max val="4.0"/>
          <c:min val="1.0"/>
        </c:scaling>
        <c:delete val="0"/>
        <c:axPos val="l"/>
        <c:majorGridlines>
          <c:spPr>
            <a:ln>
              <a:solidFill>
                <a:srgbClr val="B7B7B7"/>
              </a:solidFill>
            </a:ln>
          </c:spPr>
        </c:majorGridlines>
        <c:title>
          <c:tx>
            <c:rich>
              <a:bodyPr/>
              <a:lstStyle/>
              <a:p>
                <a:pPr lvl="0">
                  <a:defRPr b="0"/>
                </a:pPr>
                <a:r>
                  <a:rPr lang="en-US" sz="1200" b="1"/>
                  <a:t>Average</a:t>
                </a:r>
              </a:p>
            </c:rich>
          </c:tx>
          <c:layout>
            <c:manualLayout>
              <c:xMode val="edge"/>
              <c:yMode val="edge"/>
              <c:x val="0.010243902832491"/>
              <c:y val="0.49283104573975"/>
            </c:manualLayout>
          </c:layout>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5052088"/>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IIT Scoring Results</a:t>
            </a:r>
          </a:p>
          <a:p>
            <a:pPr lvl="0">
              <a:defRPr b="0"/>
            </a:pPr>
            <a:r>
              <a:rPr lang="en-US"/>
              <a:t>Prof Tech Only</a:t>
            </a:r>
          </a:p>
        </c:rich>
      </c:tx>
      <c:layout>
        <c:manualLayout>
          <c:xMode val="edge"/>
          <c:yMode val="edge"/>
          <c:x val="0.397526806127398"/>
          <c:y val="0.0161365190835185"/>
        </c:manualLayout>
      </c:layout>
      <c:overlay val="0"/>
    </c:title>
    <c:autoTitleDeleted val="0"/>
    <c:plotArea>
      <c:layout/>
      <c:barChart>
        <c:barDir val="col"/>
        <c:grouping val="clustered"/>
        <c:varyColors val="1"/>
        <c:ser>
          <c:idx val="0"/>
          <c:order val="0"/>
          <c:tx>
            <c:strRef>
              <c:f>'Data ProfTech only'!$F$76</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ProfTech only'!$G$75:$J$75</c:f>
              <c:strCache>
                <c:ptCount val="4"/>
                <c:pt idx="0">
                  <c:v>Relevance</c:v>
                </c:pt>
                <c:pt idx="1">
                  <c:v>Currency</c:v>
                </c:pt>
                <c:pt idx="2">
                  <c:v>Authority</c:v>
                </c:pt>
                <c:pt idx="3">
                  <c:v>Ethical</c:v>
                </c:pt>
              </c:strCache>
            </c:strRef>
          </c:cat>
          <c:val>
            <c:numRef>
              <c:f>'Data ProfTech only'!$G$76:$J$76</c:f>
              <c:numCache>
                <c:formatCode>#,##0.00</c:formatCode>
                <c:ptCount val="4"/>
                <c:pt idx="0">
                  <c:v>3.833333333333333</c:v>
                </c:pt>
                <c:pt idx="1">
                  <c:v>3.73529411764706</c:v>
                </c:pt>
                <c:pt idx="2">
                  <c:v>3.722222222222223</c:v>
                </c:pt>
                <c:pt idx="3">
                  <c:v>3.458333333333333</c:v>
                </c:pt>
              </c:numCache>
            </c:numRef>
          </c:val>
          <c:extLst xmlns:c16r2="http://schemas.microsoft.com/office/drawing/2015/06/chart">
            <c:ext xmlns:c16="http://schemas.microsoft.com/office/drawing/2014/chart" uri="{C3380CC4-5D6E-409C-BE32-E72D297353CC}">
              <c16:uniqueId val="{00000000-8BB7-4303-81B5-030E43F6560D}"/>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5131304"/>
        <c:axId val="-2135147976"/>
      </c:barChart>
      <c:catAx>
        <c:axId val="-2135131304"/>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5147976"/>
        <c:crosses val="autoZero"/>
        <c:auto val="1"/>
        <c:lblAlgn val="ctr"/>
        <c:lblOffset val="100"/>
        <c:noMultiLvlLbl val="1"/>
      </c:catAx>
      <c:valAx>
        <c:axId val="-2135147976"/>
        <c:scaling>
          <c:orientation val="minMax"/>
          <c:max val="4.0"/>
          <c:min val="1.0"/>
        </c:scaling>
        <c:delete val="0"/>
        <c:axPos val="l"/>
        <c:majorGridlines>
          <c:spPr>
            <a:ln>
              <a:solidFill>
                <a:srgbClr val="B7B7B7"/>
              </a:solidFill>
            </a:ln>
          </c:spPr>
        </c:majorGridlines>
        <c:title>
          <c:tx>
            <c:rich>
              <a:bodyPr/>
              <a:lstStyle/>
              <a:p>
                <a:pPr lvl="0">
                  <a:defRPr sz="1100" b="1"/>
                </a:pPr>
                <a:r>
                  <a:rPr lang="en-US" sz="110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5131304"/>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lvl="0">
              <a:defRPr b="0"/>
            </a:pPr>
            <a:r>
              <a:rPr lang="en-US"/>
              <a:t>IIT Scoring Results</a:t>
            </a:r>
          </a:p>
          <a:p>
            <a:pPr lvl="0">
              <a:defRPr b="0"/>
            </a:pPr>
            <a:r>
              <a:rPr lang="en-US"/>
              <a:t>All except Prof Tech</a:t>
            </a:r>
          </a:p>
        </c:rich>
      </c:tx>
      <c:layout>
        <c:manualLayout>
          <c:xMode val="edge"/>
          <c:yMode val="edge"/>
          <c:x val="0.390209732675619"/>
          <c:y val="0.0181533259129664"/>
        </c:manualLayout>
      </c:layout>
      <c:overlay val="0"/>
    </c:title>
    <c:autoTitleDeleted val="0"/>
    <c:plotArea>
      <c:layout/>
      <c:barChart>
        <c:barDir val="col"/>
        <c:grouping val="clustered"/>
        <c:varyColors val="1"/>
        <c:ser>
          <c:idx val="0"/>
          <c:order val="0"/>
          <c:tx>
            <c:strRef>
              <c:f>'Data All except ProfTech'!$G$292</c:f>
              <c:strCache>
                <c:ptCount val="1"/>
                <c:pt idx="0">
                  <c:v>Average</c:v>
                </c:pt>
              </c:strCache>
            </c:strRef>
          </c:tx>
          <c:spPr>
            <a:solidFill>
              <a:srgbClr val="3366CC"/>
            </a:solidFill>
          </c:spPr>
          <c:invertIfNegative val="1"/>
          <c:dLbls>
            <c:spPr>
              <a:noFill/>
              <a:ln>
                <a:noFill/>
              </a:ln>
              <a:effectLst/>
            </c:spPr>
            <c:txPr>
              <a:bodyPr/>
              <a:lstStyle/>
              <a:p>
                <a:pPr lvl="0">
                  <a:defRPr b="0" i="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'Data All except ProfTech'!$H$291:$K$291</c:f>
              <c:strCache>
                <c:ptCount val="4"/>
                <c:pt idx="0">
                  <c:v>Relevance</c:v>
                </c:pt>
                <c:pt idx="1">
                  <c:v>Currency</c:v>
                </c:pt>
                <c:pt idx="2">
                  <c:v>Authority</c:v>
                </c:pt>
                <c:pt idx="3">
                  <c:v>Ethical</c:v>
                </c:pt>
              </c:strCache>
            </c:strRef>
          </c:cat>
          <c:val>
            <c:numRef>
              <c:f>'Data All except ProfTech'!$H$292:$K$292</c:f>
              <c:numCache>
                <c:formatCode>#,##0.00</c:formatCode>
                <c:ptCount val="4"/>
                <c:pt idx="0">
                  <c:v>3.226480836236934</c:v>
                </c:pt>
                <c:pt idx="1">
                  <c:v>3.244755244755245</c:v>
                </c:pt>
                <c:pt idx="2">
                  <c:v>3.034843205574913</c:v>
                </c:pt>
                <c:pt idx="3">
                  <c:v>2.679442508710801</c:v>
                </c:pt>
              </c:numCache>
            </c:numRef>
          </c:val>
          <c:extLst xmlns:c16r2="http://schemas.microsoft.com/office/drawing/2015/06/chart">
            <c:ext xmlns:c16="http://schemas.microsoft.com/office/drawing/2014/chart" uri="{C3380CC4-5D6E-409C-BE32-E72D297353CC}">
              <c16:uniqueId val="{00000000-A4D9-4F21-9D22-EE4B7EA09E81}"/>
            </c:ex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135387896"/>
        <c:axId val="-2135201160"/>
      </c:barChart>
      <c:catAx>
        <c:axId val="-2135387896"/>
        <c:scaling>
          <c:orientation val="minMax"/>
        </c:scaling>
        <c:delete val="0"/>
        <c:axPos val="b"/>
        <c:numFmt formatCode="General" sourceLinked="1"/>
        <c:majorTickMark val="cross"/>
        <c:minorTickMark val="cross"/>
        <c:tickLblPos val="nextTo"/>
        <c:txPr>
          <a:bodyPr/>
          <a:lstStyle/>
          <a:p>
            <a:pPr lvl="0">
              <a:defRPr b="1">
                <a:solidFill>
                  <a:srgbClr val="000000"/>
                </a:solidFill>
              </a:defRPr>
            </a:pPr>
            <a:endParaRPr lang="en-US"/>
          </a:p>
        </c:txPr>
        <c:crossAx val="-2135201160"/>
        <c:crosses val="autoZero"/>
        <c:auto val="1"/>
        <c:lblAlgn val="ctr"/>
        <c:lblOffset val="100"/>
        <c:noMultiLvlLbl val="1"/>
      </c:catAx>
      <c:valAx>
        <c:axId val="-2135201160"/>
        <c:scaling>
          <c:orientation val="minMax"/>
          <c:max val="4.0"/>
          <c:min val="1.0"/>
        </c:scaling>
        <c:delete val="0"/>
        <c:axPos val="l"/>
        <c:majorGridlines>
          <c:spPr>
            <a:ln>
              <a:solidFill>
                <a:srgbClr val="B7B7B7"/>
              </a:solidFill>
            </a:ln>
          </c:spPr>
        </c:majorGridlines>
        <c:title>
          <c:tx>
            <c:rich>
              <a:bodyPr/>
              <a:lstStyle/>
              <a:p>
                <a:pPr lvl="0">
                  <a:defRPr sz="1050" b="1"/>
                </a:pPr>
                <a:r>
                  <a:rPr lang="en-US" sz="1050" b="1"/>
                  <a:t>Average</a:t>
                </a:r>
              </a:p>
            </c:rich>
          </c:tx>
          <c:overlay val="0"/>
        </c:title>
        <c:numFmt formatCode="#,##0.00" sourceLinked="1"/>
        <c:majorTickMark val="cross"/>
        <c:minorTickMark val="cross"/>
        <c:tickLblPos val="nextTo"/>
        <c:spPr>
          <a:ln w="47625">
            <a:noFill/>
          </a:ln>
        </c:spPr>
        <c:txPr>
          <a:bodyPr/>
          <a:lstStyle/>
          <a:p>
            <a:pPr lvl="0">
              <a:defRPr b="1">
                <a:solidFill>
                  <a:srgbClr val="000000"/>
                </a:solidFill>
              </a:defRPr>
            </a:pPr>
            <a:endParaRPr lang="en-US"/>
          </a:p>
        </c:txPr>
        <c:crossAx val="-2135387896"/>
        <c:crosses val="autoZero"/>
        <c:crossBetween val="between"/>
      </c:valAx>
    </c:plotArea>
    <c:plotVisOnly val="1"/>
    <c:dispBlanksAs val="zero"/>
    <c:showDLblsOverMax val="1"/>
  </c:chart>
  <c:spPr>
    <a:ln>
      <a:solidFill>
        <a:schemeClr val="tx1"/>
      </a:solidFill>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29688-964E-421B-8D6B-80148EB7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E2A98-9384-4A4B-A565-69355E163F2E}">
  <ds:schemaRefs>
    <ds:schemaRef ds:uri="http://schemas.microsoft.com/sharepoint/v3/contenttype/forms"/>
  </ds:schemaRefs>
</ds:datastoreItem>
</file>

<file path=customXml/itemProps3.xml><?xml version="1.0" encoding="utf-8"?>
<ds:datastoreItem xmlns:ds="http://schemas.openxmlformats.org/officeDocument/2006/customXml" ds:itemID="{44C5A233-F6A3-4A60-ABF2-C2F4C7BFABF9}">
  <ds:schemaRefs>
    <ds:schemaRef ds:uri="http://purl.org/dc/elements/1.1/"/>
    <ds:schemaRef ds:uri="4b092690-c9a7-4ce0-882f-08b892d19ed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b8fa892-0506-420b-ad3b-677556b71d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1484</Words>
  <Characters>8459</Characters>
  <Application>Microsoft Macintosh Word</Application>
  <DocSecurity>0</DocSecurity>
  <Lines>70</Lines>
  <Paragraphs>19</Paragraphs>
  <ScaleCrop>false</ScaleCrop>
  <Company>Tacoma Community College</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cp:lastPrinted>2019-07-15T15:24:00Z</cp:lastPrinted>
  <dcterms:created xsi:type="dcterms:W3CDTF">2020-09-24T20:44:00Z</dcterms:created>
  <dcterms:modified xsi:type="dcterms:W3CDTF">2020-09-24T20:44:00Z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0x01010000CB31EEC757C64283B80C86B1E0CB2B</vt:lpwstr>
  </property>
</Properties>
</file>