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45E49CC" w:rsidR="00473DA4" w:rsidRDefault="005A3F10" w:rsidP="43248D27">
      <w:pPr>
        <w:pStyle w:val="Title"/>
      </w:pPr>
      <w:bookmarkStart w:id="0" w:name="_GoBack"/>
      <w:bookmarkEnd w:id="0"/>
      <w:r>
        <w:t>CRT</w:t>
      </w:r>
      <w:r w:rsidR="43248D27">
        <w:t xml:space="preserve"> Assessment Report, Summer 20</w:t>
      </w:r>
      <w:r w:rsidR="000970C3">
        <w:t>20</w:t>
      </w:r>
    </w:p>
    <w:p w14:paraId="26F3C85B" w14:textId="55ACA509" w:rsidR="00CF5881" w:rsidRDefault="00C9362F" w:rsidP="00DA403C">
      <w:pPr>
        <w:rPr>
          <w:sz w:val="24"/>
          <w:szCs w:val="24"/>
        </w:rPr>
      </w:pPr>
      <w:r w:rsidRPr="00211D0B">
        <w:rPr>
          <w:sz w:val="24"/>
          <w:szCs w:val="24"/>
        </w:rPr>
        <w:t xml:space="preserve">Prepared by </w:t>
      </w:r>
      <w:r w:rsidR="000970C3">
        <w:rPr>
          <w:sz w:val="24"/>
          <w:szCs w:val="24"/>
        </w:rPr>
        <w:t>Corinne Jarvis, CLAC C</w:t>
      </w:r>
      <w:r w:rsidRPr="00211D0B">
        <w:rPr>
          <w:sz w:val="24"/>
          <w:szCs w:val="24"/>
        </w:rPr>
        <w:t>hair</w:t>
      </w:r>
      <w:r w:rsidR="000970C3">
        <w:rPr>
          <w:sz w:val="24"/>
          <w:szCs w:val="24"/>
        </w:rPr>
        <w:t>;</w:t>
      </w:r>
      <w:r w:rsidRPr="00211D0B">
        <w:rPr>
          <w:sz w:val="24"/>
          <w:szCs w:val="24"/>
        </w:rPr>
        <w:t xml:space="preserve"> </w:t>
      </w:r>
      <w:r w:rsidR="000970C3" w:rsidRPr="00211D0B">
        <w:rPr>
          <w:sz w:val="24"/>
          <w:szCs w:val="24"/>
        </w:rPr>
        <w:t>Heather Gillanders</w:t>
      </w:r>
      <w:r w:rsidR="000970C3">
        <w:rPr>
          <w:sz w:val="24"/>
          <w:szCs w:val="24"/>
        </w:rPr>
        <w:t>;</w:t>
      </w:r>
      <w:r w:rsidR="000970C3" w:rsidRPr="00211D0B">
        <w:rPr>
          <w:sz w:val="24"/>
          <w:szCs w:val="24"/>
        </w:rPr>
        <w:t xml:space="preserve"> </w:t>
      </w:r>
      <w:r w:rsidR="000970C3">
        <w:rPr>
          <w:sz w:val="24"/>
          <w:szCs w:val="24"/>
        </w:rPr>
        <w:t xml:space="preserve">and </w:t>
      </w:r>
      <w:r w:rsidRPr="00211D0B">
        <w:rPr>
          <w:sz w:val="24"/>
          <w:szCs w:val="24"/>
        </w:rPr>
        <w:t>Amunoo Tembo</w:t>
      </w:r>
    </w:p>
    <w:p w14:paraId="3E7A9F1C" w14:textId="77777777" w:rsidR="00DA403C" w:rsidRDefault="00DA403C" w:rsidP="00C10969">
      <w:pPr>
        <w:pStyle w:val="Heading1"/>
      </w:pPr>
      <w:r>
        <w:t>Introduction</w:t>
      </w:r>
    </w:p>
    <w:p w14:paraId="52E666F8" w14:textId="1B135257" w:rsidR="002F32C0" w:rsidRPr="00211D0B" w:rsidRDefault="002F32C0" w:rsidP="00DA403C">
      <w:pPr>
        <w:rPr>
          <w:sz w:val="24"/>
          <w:szCs w:val="24"/>
        </w:rPr>
      </w:pPr>
      <w:r w:rsidRPr="00211D0B">
        <w:rPr>
          <w:sz w:val="24"/>
          <w:szCs w:val="24"/>
        </w:rPr>
        <w:t>In the 2016-17 academic year, TCC conducted a meta-assessment of all instructional assessment processes and procedures. In addition, TCC had its mid-cycle accreditation visit, which was focused on instructional assessment. One outcome of b</w:t>
      </w:r>
      <w:r w:rsidR="00377EBC" w:rsidRPr="00211D0B">
        <w:rPr>
          <w:sz w:val="24"/>
          <w:szCs w:val="24"/>
        </w:rPr>
        <w:t>oth</w:t>
      </w:r>
      <w:r w:rsidRPr="00211D0B">
        <w:rPr>
          <w:sz w:val="24"/>
          <w:szCs w:val="24"/>
        </w:rPr>
        <w:t xml:space="preserve"> was the revision of TCC’s degree learning outcomes (DLOs), which was led by the Student Learning Improvement Council (SLIC). </w:t>
      </w:r>
      <w:r w:rsidR="0091159C">
        <w:rPr>
          <w:sz w:val="24"/>
          <w:szCs w:val="24"/>
        </w:rPr>
        <w:t>T</w:t>
      </w:r>
      <w:r w:rsidR="00377EBC" w:rsidRPr="00211D0B">
        <w:rPr>
          <w:sz w:val="24"/>
          <w:szCs w:val="24"/>
        </w:rPr>
        <w:t>he mid-cycle accreditation team recommended a consistent</w:t>
      </w:r>
      <w:r w:rsidR="0091159C">
        <w:rPr>
          <w:sz w:val="24"/>
          <w:szCs w:val="24"/>
        </w:rPr>
        <w:t xml:space="preserve"> methodology for DLO assessment. I</w:t>
      </w:r>
      <w:r w:rsidR="00377EBC" w:rsidRPr="00211D0B">
        <w:rPr>
          <w:sz w:val="24"/>
          <w:szCs w:val="24"/>
        </w:rPr>
        <w:t>t was therefore decided to use rubrics to evaluate student work that measure</w:t>
      </w:r>
      <w:r w:rsidR="00DA0C84" w:rsidRPr="00211D0B">
        <w:rPr>
          <w:sz w:val="24"/>
          <w:szCs w:val="24"/>
        </w:rPr>
        <w:t>s</w:t>
      </w:r>
      <w:r w:rsidR="00377EBC" w:rsidRPr="00211D0B">
        <w:rPr>
          <w:sz w:val="24"/>
          <w:szCs w:val="24"/>
        </w:rPr>
        <w:t xml:space="preserve"> each DLO going forward, and for the SLIC committee to lead these efforts. </w:t>
      </w:r>
      <w:r w:rsidRPr="00211D0B">
        <w:rPr>
          <w:sz w:val="24"/>
          <w:szCs w:val="24"/>
        </w:rPr>
        <w:t xml:space="preserve">These changes were reviewed by Instructional Council (IC) and subsequently approved in February 2017. </w:t>
      </w:r>
    </w:p>
    <w:p w14:paraId="25D43756" w14:textId="046CA538" w:rsidR="00C10969" w:rsidRPr="00211D0B" w:rsidRDefault="7427F719" w:rsidP="7427F719">
      <w:pPr>
        <w:rPr>
          <w:sz w:val="24"/>
          <w:szCs w:val="24"/>
        </w:rPr>
      </w:pPr>
      <w:r w:rsidRPr="7427F719">
        <w:rPr>
          <w:sz w:val="24"/>
          <w:szCs w:val="24"/>
        </w:rPr>
        <w:t>The SLIC committee then changed its name to the College-wide Learning Assessment Committee (CLAC) and revised its mission statement to more accurately reflect its focus on leading DLO assessment. The revised</w:t>
      </w:r>
      <w:r w:rsidRPr="7427F719">
        <w:rPr>
          <w:color w:val="FF0000"/>
          <w:sz w:val="24"/>
          <w:szCs w:val="24"/>
        </w:rPr>
        <w:t xml:space="preserve"> </w:t>
      </w:r>
      <w:r w:rsidRPr="7427F719">
        <w:rPr>
          <w:sz w:val="24"/>
          <w:szCs w:val="24"/>
        </w:rPr>
        <w:t>mission statement reads:</w:t>
      </w:r>
    </w:p>
    <w:p w14:paraId="0AED3BD7" w14:textId="4494CC08" w:rsidR="00377EBC" w:rsidRPr="00211D0B" w:rsidRDefault="00377EBC" w:rsidP="52AF78E5">
      <w:pPr>
        <w:ind w:left="720"/>
        <w:rPr>
          <w:i/>
          <w:iCs/>
          <w:sz w:val="24"/>
          <w:szCs w:val="24"/>
        </w:rPr>
      </w:pPr>
      <w:r w:rsidRPr="52AF78E5">
        <w:rPr>
          <w:i/>
          <w:iCs/>
          <w:sz w:val="24"/>
          <w:szCs w:val="24"/>
        </w:rPr>
        <w:t>Supporting Tacoma Community College’s core theme</w:t>
      </w:r>
      <w:r w:rsidR="55D3B821" w:rsidRPr="52AF78E5">
        <w:rPr>
          <w:i/>
          <w:iCs/>
          <w:sz w:val="24"/>
          <w:szCs w:val="24"/>
        </w:rPr>
        <w:t>s</w:t>
      </w:r>
      <w:r w:rsidRPr="52AF78E5">
        <w:rPr>
          <w:i/>
          <w:iCs/>
          <w:sz w:val="24"/>
          <w:szCs w:val="24"/>
        </w:rPr>
        <w:t xml:space="preserve"> through the planning and coordination of institution-wide assessment, including but not limited to student achievement of degree learning outcomes.</w:t>
      </w:r>
    </w:p>
    <w:p w14:paraId="12B4FB1E" w14:textId="125378D9" w:rsidR="000054F0" w:rsidRDefault="00D97440" w:rsidP="000054F0">
      <w:pPr>
        <w:rPr>
          <w:sz w:val="24"/>
          <w:szCs w:val="24"/>
        </w:rPr>
      </w:pPr>
      <w:r w:rsidRPr="000054F0">
        <w:rPr>
          <w:sz w:val="24"/>
          <w:szCs w:val="24"/>
        </w:rPr>
        <w:t xml:space="preserve">This report is for the </w:t>
      </w:r>
      <w:r w:rsidR="000054F0" w:rsidRPr="000054F0">
        <w:rPr>
          <w:b/>
          <w:sz w:val="24"/>
          <w:szCs w:val="24"/>
        </w:rPr>
        <w:t>Critical Thinking &amp; Problem Solving (CRT) DLO</w:t>
      </w:r>
      <w:r w:rsidR="000054F0" w:rsidRPr="000054F0">
        <w:rPr>
          <w:sz w:val="24"/>
          <w:szCs w:val="24"/>
        </w:rPr>
        <w:t xml:space="preserve">, which reads: </w:t>
      </w:r>
    </w:p>
    <w:p w14:paraId="7C83B516" w14:textId="44126FB0" w:rsidR="00E2067C" w:rsidRPr="000054F0" w:rsidRDefault="000054F0" w:rsidP="000054F0">
      <w:pPr>
        <w:ind w:firstLine="720"/>
        <w:rPr>
          <w:i/>
          <w:sz w:val="24"/>
          <w:szCs w:val="24"/>
          <w:highlight w:val="yellow"/>
        </w:rPr>
      </w:pPr>
      <w:r w:rsidRPr="000054F0">
        <w:rPr>
          <w:i/>
          <w:sz w:val="24"/>
          <w:szCs w:val="24"/>
        </w:rPr>
        <w:t>Compare, analyze, and evaluate information and ideas to solve problems.</w:t>
      </w:r>
    </w:p>
    <w:p w14:paraId="666C7439" w14:textId="77777777" w:rsidR="005865AC" w:rsidRPr="007B0184" w:rsidRDefault="005865AC" w:rsidP="007B0184">
      <w:pPr>
        <w:rPr>
          <w:sz w:val="24"/>
          <w:szCs w:val="24"/>
        </w:rPr>
      </w:pPr>
      <w:r w:rsidRPr="007B0184">
        <w:rPr>
          <w:rStyle w:val="normaltextrun"/>
          <w:rFonts w:ascii="Calibri" w:hAnsi="Calibri" w:cs="Times New Roman"/>
          <w:sz w:val="24"/>
          <w:szCs w:val="24"/>
        </w:rPr>
        <w:t>The verbiage of this DLO previously read:</w:t>
      </w:r>
      <w:r w:rsidRPr="007B0184">
        <w:rPr>
          <w:rStyle w:val="eop"/>
          <w:rFonts w:ascii="Calibri" w:hAnsi="Calibri" w:cs="Times New Roman"/>
          <w:sz w:val="24"/>
          <w:szCs w:val="24"/>
        </w:rPr>
        <w:t> </w:t>
      </w:r>
    </w:p>
    <w:p w14:paraId="76E3F6B0" w14:textId="5EE0BC4E" w:rsidR="005865AC" w:rsidRPr="007B0184" w:rsidRDefault="000054F0" w:rsidP="007B0184">
      <w:pPr>
        <w:ind w:left="720"/>
        <w:rPr>
          <w:i/>
          <w:sz w:val="24"/>
          <w:szCs w:val="24"/>
        </w:rPr>
      </w:pPr>
      <w:r w:rsidRPr="007B0184">
        <w:rPr>
          <w:i/>
          <w:sz w:val="24"/>
          <w:szCs w:val="24"/>
        </w:rPr>
        <w:t>Compare, analyze, and evaluate information and ideas, and use sound thinking skills to solve problems.</w:t>
      </w:r>
    </w:p>
    <w:p w14:paraId="18F563FA" w14:textId="1DFAFDA9" w:rsidR="006960A2" w:rsidRPr="006960A2" w:rsidRDefault="005865AC" w:rsidP="007B0184">
      <w:pPr>
        <w:rPr>
          <w:sz w:val="24"/>
          <w:szCs w:val="24"/>
        </w:rPr>
      </w:pPr>
      <w:r w:rsidRPr="007B0184">
        <w:rPr>
          <w:sz w:val="24"/>
          <w:szCs w:val="24"/>
        </w:rPr>
        <w:t>It was last assessed in 201</w:t>
      </w:r>
      <w:r w:rsidR="007B0184">
        <w:rPr>
          <w:sz w:val="24"/>
          <w:szCs w:val="24"/>
        </w:rPr>
        <w:t>2</w:t>
      </w:r>
      <w:r w:rsidRPr="007B0184">
        <w:rPr>
          <w:sz w:val="24"/>
          <w:szCs w:val="24"/>
        </w:rPr>
        <w:t>-1</w:t>
      </w:r>
      <w:r w:rsidR="007B0184">
        <w:rPr>
          <w:sz w:val="24"/>
          <w:szCs w:val="24"/>
        </w:rPr>
        <w:t>3</w:t>
      </w:r>
      <w:r w:rsidRPr="007B0184">
        <w:rPr>
          <w:sz w:val="24"/>
          <w:szCs w:val="24"/>
        </w:rPr>
        <w:t xml:space="preserve"> by gathering student work and evaluating it using a rubric. </w:t>
      </w:r>
    </w:p>
    <w:p w14:paraId="206DFFD0" w14:textId="3C7F00AD" w:rsidR="00DA403C" w:rsidRDefault="00DA403C" w:rsidP="00C26736">
      <w:pPr>
        <w:pStyle w:val="Heading1"/>
      </w:pPr>
      <w:r>
        <w:t>Method</w:t>
      </w:r>
    </w:p>
    <w:p w14:paraId="290D7CA5" w14:textId="6D1CB9D3" w:rsidR="006960A2" w:rsidRPr="00211D0B" w:rsidRDefault="006960A2" w:rsidP="006960A2">
      <w:pPr>
        <w:rPr>
          <w:sz w:val="24"/>
          <w:szCs w:val="24"/>
        </w:rPr>
      </w:pPr>
      <w:r>
        <w:rPr>
          <w:sz w:val="24"/>
          <w:szCs w:val="24"/>
        </w:rPr>
        <w:t>In the 2017/18 academic year, the CLAC committee led the process of developing rubrics to evaluate student work for DLO assessment. With permission, a</w:t>
      </w:r>
      <w:r w:rsidRPr="7CC322CA">
        <w:rPr>
          <w:sz w:val="24"/>
          <w:szCs w:val="24"/>
        </w:rPr>
        <w:t xml:space="preserve"> South Seattle College</w:t>
      </w:r>
      <w:r>
        <w:rPr>
          <w:sz w:val="24"/>
          <w:szCs w:val="24"/>
        </w:rPr>
        <w:t xml:space="preserve"> rubric</w:t>
      </w:r>
      <w:r w:rsidRPr="7CC322CA">
        <w:rPr>
          <w:sz w:val="24"/>
          <w:szCs w:val="24"/>
        </w:rPr>
        <w:t xml:space="preserve"> </w:t>
      </w:r>
      <w:r>
        <w:rPr>
          <w:sz w:val="24"/>
          <w:szCs w:val="24"/>
        </w:rPr>
        <w:t>was adapted</w:t>
      </w:r>
      <w:r w:rsidRPr="7CC322CA">
        <w:rPr>
          <w:sz w:val="24"/>
          <w:szCs w:val="24"/>
        </w:rPr>
        <w:t xml:space="preserve"> to fit the language of Tacoma Community College’s </w:t>
      </w:r>
      <w:r>
        <w:rPr>
          <w:sz w:val="24"/>
          <w:szCs w:val="24"/>
        </w:rPr>
        <w:t>CRT</w:t>
      </w:r>
      <w:r w:rsidRPr="7CC322CA">
        <w:rPr>
          <w:sz w:val="24"/>
          <w:szCs w:val="24"/>
        </w:rPr>
        <w:t xml:space="preserve"> DLO</w:t>
      </w:r>
      <w:r>
        <w:rPr>
          <w:sz w:val="24"/>
          <w:szCs w:val="24"/>
        </w:rPr>
        <w:t xml:space="preserve">. </w:t>
      </w:r>
      <w:r w:rsidRPr="7CC322CA">
        <w:rPr>
          <w:sz w:val="24"/>
          <w:szCs w:val="24"/>
        </w:rPr>
        <w:t>Members of the CLAC committee created the first draft</w:t>
      </w:r>
      <w:r>
        <w:rPr>
          <w:sz w:val="24"/>
          <w:szCs w:val="24"/>
        </w:rPr>
        <w:t xml:space="preserve"> (initially just a </w:t>
      </w:r>
      <w:proofErr w:type="gramStart"/>
      <w:r>
        <w:rPr>
          <w:sz w:val="24"/>
          <w:szCs w:val="24"/>
        </w:rPr>
        <w:t>single</w:t>
      </w:r>
      <w:proofErr w:type="gramEnd"/>
      <w:r>
        <w:rPr>
          <w:sz w:val="24"/>
          <w:szCs w:val="24"/>
        </w:rPr>
        <w:t xml:space="preserve"> rubric)</w:t>
      </w:r>
      <w:r w:rsidRPr="7CC322CA">
        <w:rPr>
          <w:sz w:val="24"/>
          <w:szCs w:val="24"/>
        </w:rPr>
        <w:t>, solicited feedback from faculty</w:t>
      </w:r>
      <w:r>
        <w:rPr>
          <w:sz w:val="24"/>
          <w:szCs w:val="24"/>
        </w:rPr>
        <w:t xml:space="preserve"> (who suggested two rubrics: one for essay-type artifacts and one for STEM artifacts)</w:t>
      </w:r>
      <w:r w:rsidRPr="7CC322CA">
        <w:rPr>
          <w:sz w:val="24"/>
          <w:szCs w:val="24"/>
        </w:rPr>
        <w:t>, and revised the rubrics based on faculty feedback to create the final draft</w:t>
      </w:r>
      <w:r>
        <w:rPr>
          <w:sz w:val="24"/>
          <w:szCs w:val="24"/>
        </w:rPr>
        <w:t>s</w:t>
      </w:r>
      <w:r w:rsidRPr="7CC322CA">
        <w:rPr>
          <w:sz w:val="24"/>
          <w:szCs w:val="24"/>
        </w:rPr>
        <w:t>:</w:t>
      </w:r>
    </w:p>
    <w:p w14:paraId="7992687C" w14:textId="77777777" w:rsidR="006960A2" w:rsidRDefault="006960A2" w:rsidP="7427F719">
      <w:pPr>
        <w:rPr>
          <w:sz w:val="24"/>
          <w:szCs w:val="24"/>
        </w:rPr>
      </w:pPr>
    </w:p>
    <w:p w14:paraId="0A37501D" w14:textId="0AD86250" w:rsidR="00701B35" w:rsidRDefault="00067C4F" w:rsidP="00332033">
      <w:pPr>
        <w:ind w:left="-180"/>
      </w:pPr>
      <w:r>
        <w:rPr>
          <w:noProof/>
        </w:rPr>
        <w:lastRenderedPageBreak/>
        <w:drawing>
          <wp:inline distT="0" distB="0" distL="0" distR="0" wp14:anchorId="1E9BED04" wp14:editId="4BBAFA4E">
            <wp:extent cx="6081623" cy="3942355"/>
            <wp:effectExtent l="152400" t="152400" r="357505" b="3632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T-Essays_Rubric.png"/>
                    <pic:cNvPicPr/>
                  </pic:nvPicPr>
                  <pic:blipFill>
                    <a:blip r:embed="rId10">
                      <a:extLst>
                        <a:ext uri="{28A0092B-C50C-407E-A947-70E740481C1C}">
                          <a14:useLocalDpi xmlns:a14="http://schemas.microsoft.com/office/drawing/2010/main" val="0"/>
                        </a:ext>
                      </a:extLst>
                    </a:blip>
                    <a:stretch>
                      <a:fillRect/>
                    </a:stretch>
                  </pic:blipFill>
                  <pic:spPr>
                    <a:xfrm>
                      <a:off x="0" y="0"/>
                      <a:ext cx="6099516" cy="3953954"/>
                    </a:xfrm>
                    <a:prstGeom prst="rect">
                      <a:avLst/>
                    </a:prstGeom>
                    <a:ln>
                      <a:noFill/>
                    </a:ln>
                    <a:effectLst>
                      <a:outerShdw blurRad="292100" dist="139700" dir="2700000" algn="tl" rotWithShape="0">
                        <a:srgbClr val="333333">
                          <a:alpha val="65000"/>
                        </a:srgbClr>
                      </a:outerShdw>
                    </a:effectLst>
                  </pic:spPr>
                </pic:pic>
              </a:graphicData>
            </a:graphic>
          </wp:inline>
        </w:drawing>
      </w:r>
    </w:p>
    <w:p w14:paraId="6575210A" w14:textId="77777777" w:rsidR="008D7802" w:rsidRDefault="00067C4F" w:rsidP="00DA403C">
      <w:pPr>
        <w:rPr>
          <w:sz w:val="24"/>
          <w:szCs w:val="24"/>
        </w:rPr>
      </w:pPr>
      <w:r>
        <w:rPr>
          <w:noProof/>
          <w:sz w:val="24"/>
          <w:szCs w:val="24"/>
        </w:rPr>
        <w:drawing>
          <wp:inline distT="0" distB="0" distL="0" distR="0" wp14:anchorId="71932313" wp14:editId="7ED35EF7">
            <wp:extent cx="6064370" cy="3234331"/>
            <wp:effectExtent l="152400" t="152400" r="355600" b="3663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T-STEM_Rubric.png"/>
                    <pic:cNvPicPr/>
                  </pic:nvPicPr>
                  <pic:blipFill>
                    <a:blip r:embed="rId11">
                      <a:extLst>
                        <a:ext uri="{28A0092B-C50C-407E-A947-70E740481C1C}">
                          <a14:useLocalDpi xmlns:a14="http://schemas.microsoft.com/office/drawing/2010/main" val="0"/>
                        </a:ext>
                      </a:extLst>
                    </a:blip>
                    <a:stretch>
                      <a:fillRect/>
                    </a:stretch>
                  </pic:blipFill>
                  <pic:spPr>
                    <a:xfrm>
                      <a:off x="0" y="0"/>
                      <a:ext cx="6066720" cy="3235584"/>
                    </a:xfrm>
                    <a:prstGeom prst="rect">
                      <a:avLst/>
                    </a:prstGeom>
                    <a:ln>
                      <a:noFill/>
                    </a:ln>
                    <a:effectLst>
                      <a:outerShdw blurRad="292100" dist="139700" dir="2700000" algn="tl" rotWithShape="0">
                        <a:srgbClr val="333333">
                          <a:alpha val="65000"/>
                        </a:srgbClr>
                      </a:outerShdw>
                    </a:effectLst>
                  </pic:spPr>
                </pic:pic>
              </a:graphicData>
            </a:graphic>
          </wp:inline>
        </w:drawing>
      </w:r>
    </w:p>
    <w:p w14:paraId="5382DEBF" w14:textId="77777777" w:rsidR="008D7802" w:rsidRDefault="008D7802" w:rsidP="00DA403C">
      <w:pPr>
        <w:rPr>
          <w:sz w:val="24"/>
          <w:szCs w:val="24"/>
        </w:rPr>
      </w:pPr>
    </w:p>
    <w:p w14:paraId="74833190" w14:textId="77777777" w:rsidR="008D7802" w:rsidRDefault="008D7802" w:rsidP="00DA403C">
      <w:pPr>
        <w:rPr>
          <w:sz w:val="24"/>
          <w:szCs w:val="24"/>
        </w:rPr>
      </w:pPr>
    </w:p>
    <w:p w14:paraId="3866BA70" w14:textId="47D38BAC" w:rsidR="00B17412" w:rsidRDefault="008D7802" w:rsidP="008D7802">
      <w:pPr>
        <w:rPr>
          <w:sz w:val="24"/>
          <w:szCs w:val="24"/>
        </w:rPr>
      </w:pPr>
      <w:r>
        <w:rPr>
          <w:sz w:val="24"/>
          <w:szCs w:val="24"/>
        </w:rPr>
        <w:lastRenderedPageBreak/>
        <w:t xml:space="preserve">The CLAC committee began collecting student work for the Critical Thinking &amp; Problem Solving DLO in winter quarter of 2019 and continued through fall quarter. The collection process began with an all-faculty email requesting </w:t>
      </w:r>
      <w:r w:rsidR="00CF0BA4">
        <w:rPr>
          <w:sz w:val="24"/>
          <w:szCs w:val="24"/>
        </w:rPr>
        <w:t>assignments t</w:t>
      </w:r>
      <w:r>
        <w:rPr>
          <w:sz w:val="24"/>
          <w:szCs w:val="24"/>
        </w:rPr>
        <w:t xml:space="preserve">hat aligned </w:t>
      </w:r>
      <w:r w:rsidR="00CF0BA4">
        <w:rPr>
          <w:sz w:val="24"/>
          <w:szCs w:val="24"/>
        </w:rPr>
        <w:t>with</w:t>
      </w:r>
      <w:r>
        <w:rPr>
          <w:sz w:val="24"/>
          <w:szCs w:val="24"/>
        </w:rPr>
        <w:t xml:space="preserve"> the CRT DLO to </w:t>
      </w:r>
      <w:r w:rsidR="00CF0BA4">
        <w:rPr>
          <w:sz w:val="24"/>
          <w:szCs w:val="24"/>
        </w:rPr>
        <w:t xml:space="preserve">be </w:t>
      </w:r>
      <w:r>
        <w:rPr>
          <w:sz w:val="24"/>
          <w:szCs w:val="24"/>
        </w:rPr>
        <w:t>submit</w:t>
      </w:r>
      <w:r w:rsidR="00CF0BA4">
        <w:rPr>
          <w:sz w:val="24"/>
          <w:szCs w:val="24"/>
        </w:rPr>
        <w:t>ted</w:t>
      </w:r>
      <w:r>
        <w:rPr>
          <w:sz w:val="24"/>
          <w:szCs w:val="24"/>
        </w:rPr>
        <w:t xml:space="preserve"> by completing a short survey. The survey collected pertinent information such as instructor name, course information, assignment name, instructions, and due date. </w:t>
      </w:r>
    </w:p>
    <w:p w14:paraId="0F2A3FA0" w14:textId="77777777" w:rsidR="00B17412" w:rsidRPr="00211D0B" w:rsidRDefault="00B17412" w:rsidP="00B17412">
      <w:pPr>
        <w:rPr>
          <w:sz w:val="24"/>
          <w:szCs w:val="24"/>
        </w:rPr>
      </w:pPr>
      <w:r w:rsidRPr="00211D0B">
        <w:rPr>
          <w:sz w:val="24"/>
          <w:szCs w:val="24"/>
        </w:rPr>
        <w:t xml:space="preserve">In collaboration with e-Learning, a Canvas shell for the </w:t>
      </w:r>
      <w:r>
        <w:rPr>
          <w:sz w:val="24"/>
          <w:szCs w:val="24"/>
        </w:rPr>
        <w:t xml:space="preserve">CRT </w:t>
      </w:r>
      <w:r w:rsidRPr="00211D0B">
        <w:rPr>
          <w:sz w:val="24"/>
          <w:szCs w:val="24"/>
        </w:rPr>
        <w:t xml:space="preserve">DLO was created and all artifacts were uploaded to the shell to be scored using </w:t>
      </w:r>
      <w:r>
        <w:rPr>
          <w:sz w:val="24"/>
          <w:szCs w:val="24"/>
        </w:rPr>
        <w:t xml:space="preserve">either </w:t>
      </w:r>
      <w:r w:rsidRPr="00211D0B">
        <w:rPr>
          <w:sz w:val="24"/>
          <w:szCs w:val="24"/>
        </w:rPr>
        <w:t xml:space="preserve">the </w:t>
      </w:r>
      <w:r>
        <w:rPr>
          <w:sz w:val="24"/>
          <w:szCs w:val="24"/>
        </w:rPr>
        <w:t xml:space="preserve">CRT-Essays or CRT-STEM </w:t>
      </w:r>
      <w:r w:rsidRPr="00211D0B">
        <w:rPr>
          <w:sz w:val="24"/>
          <w:szCs w:val="24"/>
        </w:rPr>
        <w:t>rubric and to act as a repository of student work for potential future assessment projects. As much as possible, artifacts were anonymized, removing student names and ID numbers. Only those faculty scoring artifacts, CLAC members, and e-Learning have access to these Canvas shells.</w:t>
      </w:r>
    </w:p>
    <w:p w14:paraId="7F2A0770" w14:textId="77777777" w:rsidR="008D7802" w:rsidRDefault="008D7802" w:rsidP="008D7802">
      <w:pPr>
        <w:rPr>
          <w:sz w:val="24"/>
          <w:szCs w:val="24"/>
        </w:rPr>
      </w:pPr>
      <w:r>
        <w:rPr>
          <w:sz w:val="24"/>
          <w:szCs w:val="24"/>
        </w:rPr>
        <w:t>Eighteen assignments were submitted for CRT assessment representing four divisions (</w:t>
      </w:r>
      <w:r w:rsidRPr="005E24DF">
        <w:rPr>
          <w:sz w:val="24"/>
          <w:szCs w:val="24"/>
        </w:rPr>
        <w:t>Arts, Humanities, and Social Sciences; Health, Business, and Professional Services</w:t>
      </w:r>
      <w:r>
        <w:rPr>
          <w:sz w:val="24"/>
          <w:szCs w:val="24"/>
        </w:rPr>
        <w:t xml:space="preserve">, </w:t>
      </w:r>
      <w:r w:rsidRPr="005E24DF">
        <w:rPr>
          <w:sz w:val="24"/>
          <w:szCs w:val="24"/>
        </w:rPr>
        <w:t xml:space="preserve">Math, Science, and Engineering; </w:t>
      </w:r>
      <w:r>
        <w:rPr>
          <w:sz w:val="24"/>
          <w:szCs w:val="24"/>
        </w:rPr>
        <w:t xml:space="preserve">and </w:t>
      </w:r>
      <w:r w:rsidRPr="005E24DF">
        <w:rPr>
          <w:sz w:val="24"/>
          <w:szCs w:val="24"/>
        </w:rPr>
        <w:t xml:space="preserve">Written and Oral </w:t>
      </w:r>
      <w:r>
        <w:rPr>
          <w:sz w:val="24"/>
          <w:szCs w:val="24"/>
        </w:rPr>
        <w:t>Communications). The assignment submissions resulted in 374 individual artifacts submitted for scoring.</w:t>
      </w:r>
    </w:p>
    <w:p w14:paraId="0A6C407D" w14:textId="77777777" w:rsidR="008D7802" w:rsidRDefault="008D7802" w:rsidP="008D7802">
      <w:pPr>
        <w:rPr>
          <w:sz w:val="24"/>
          <w:szCs w:val="24"/>
        </w:rPr>
      </w:pPr>
      <w:r>
        <w:rPr>
          <w:sz w:val="24"/>
          <w:szCs w:val="24"/>
        </w:rPr>
        <w:t>In winter quarter 2020, the CLAC committee invited faculty from across campus to participate in the scoring process. Eight f</w:t>
      </w:r>
      <w:r w:rsidRPr="7427F719">
        <w:rPr>
          <w:sz w:val="24"/>
          <w:szCs w:val="24"/>
        </w:rPr>
        <w:t xml:space="preserve">aculty </w:t>
      </w:r>
      <w:r>
        <w:rPr>
          <w:sz w:val="24"/>
          <w:szCs w:val="24"/>
        </w:rPr>
        <w:t>from</w:t>
      </w:r>
      <w:r w:rsidRPr="005E24DF">
        <w:rPr>
          <w:sz w:val="24"/>
          <w:szCs w:val="24"/>
        </w:rPr>
        <w:t xml:space="preserve"> four</w:t>
      </w:r>
      <w:r>
        <w:rPr>
          <w:sz w:val="24"/>
          <w:szCs w:val="24"/>
        </w:rPr>
        <w:t xml:space="preserve"> campus divisions volunteered to</w:t>
      </w:r>
      <w:r w:rsidRPr="005E24DF">
        <w:rPr>
          <w:sz w:val="24"/>
          <w:szCs w:val="24"/>
        </w:rPr>
        <w:t xml:space="preserve"> </w:t>
      </w:r>
      <w:r w:rsidRPr="7427F719">
        <w:rPr>
          <w:sz w:val="24"/>
          <w:szCs w:val="24"/>
        </w:rPr>
        <w:t xml:space="preserve">score </w:t>
      </w:r>
      <w:r>
        <w:rPr>
          <w:sz w:val="24"/>
          <w:szCs w:val="24"/>
        </w:rPr>
        <w:t xml:space="preserve">the </w:t>
      </w:r>
      <w:r w:rsidRPr="7427F719">
        <w:rPr>
          <w:sz w:val="24"/>
          <w:szCs w:val="24"/>
        </w:rPr>
        <w:t>student artifacts</w:t>
      </w:r>
      <w:r>
        <w:rPr>
          <w:sz w:val="24"/>
          <w:szCs w:val="24"/>
        </w:rPr>
        <w:t>. Scoring was completed during spring quarter 2020</w:t>
      </w:r>
      <w:r w:rsidRPr="7427F719">
        <w:rPr>
          <w:sz w:val="24"/>
          <w:szCs w:val="24"/>
        </w:rPr>
        <w:t xml:space="preserve"> using </w:t>
      </w:r>
      <w:r>
        <w:rPr>
          <w:sz w:val="24"/>
          <w:szCs w:val="24"/>
        </w:rPr>
        <w:t>two</w:t>
      </w:r>
      <w:r w:rsidRPr="7427F719">
        <w:rPr>
          <w:sz w:val="24"/>
          <w:szCs w:val="24"/>
        </w:rPr>
        <w:t xml:space="preserve"> rubric</w:t>
      </w:r>
      <w:r>
        <w:rPr>
          <w:sz w:val="24"/>
          <w:szCs w:val="24"/>
        </w:rPr>
        <w:t>s: one for essay-type artifacts and one for STEM artifacts (lab reports, etc.)</w:t>
      </w:r>
      <w:r w:rsidRPr="7427F719">
        <w:rPr>
          <w:sz w:val="24"/>
          <w:szCs w:val="24"/>
        </w:rPr>
        <w:t xml:space="preserve">. </w:t>
      </w:r>
    </w:p>
    <w:p w14:paraId="75F2A4FE" w14:textId="170B238A" w:rsidR="008D7802" w:rsidRPr="00211D0B" w:rsidRDefault="008D7802" w:rsidP="008D7802">
      <w:pPr>
        <w:rPr>
          <w:sz w:val="24"/>
          <w:szCs w:val="24"/>
        </w:rPr>
      </w:pPr>
      <w:r>
        <w:rPr>
          <w:sz w:val="24"/>
          <w:szCs w:val="24"/>
        </w:rPr>
        <w:t xml:space="preserve">Of the 374 individual student artifacts, 322 were essay-type artifacts, and 52 were STEM artifacts. </w:t>
      </w:r>
      <w:r w:rsidR="00C3269D">
        <w:rPr>
          <w:sz w:val="24"/>
          <w:szCs w:val="24"/>
        </w:rPr>
        <w:t>340 individual artifacts were scored, approximately 90</w:t>
      </w:r>
      <w:r>
        <w:rPr>
          <w:sz w:val="24"/>
          <w:szCs w:val="24"/>
        </w:rPr>
        <w:t>% of the total</w:t>
      </w:r>
      <w:r w:rsidR="00C3269D">
        <w:rPr>
          <w:sz w:val="24"/>
          <w:szCs w:val="24"/>
        </w:rPr>
        <w:t xml:space="preserve">. </w:t>
      </w:r>
      <w:r>
        <w:rPr>
          <w:sz w:val="24"/>
          <w:szCs w:val="24"/>
        </w:rPr>
        <w:t xml:space="preserve">288 essay-type </w:t>
      </w:r>
      <w:r w:rsidR="00C3269D">
        <w:rPr>
          <w:sz w:val="24"/>
          <w:szCs w:val="24"/>
        </w:rPr>
        <w:t xml:space="preserve">artifacts </w:t>
      </w:r>
      <w:r>
        <w:rPr>
          <w:sz w:val="24"/>
          <w:szCs w:val="24"/>
        </w:rPr>
        <w:t xml:space="preserve">and </w:t>
      </w:r>
      <w:r w:rsidR="00C3269D">
        <w:rPr>
          <w:sz w:val="24"/>
          <w:szCs w:val="24"/>
        </w:rPr>
        <w:t xml:space="preserve">all </w:t>
      </w:r>
      <w:r>
        <w:rPr>
          <w:sz w:val="24"/>
          <w:szCs w:val="24"/>
        </w:rPr>
        <w:t xml:space="preserve">52 </w:t>
      </w:r>
      <w:r w:rsidR="00C3269D">
        <w:rPr>
          <w:sz w:val="24"/>
          <w:szCs w:val="24"/>
        </w:rPr>
        <w:t>STEM artifacts were scored.</w:t>
      </w:r>
    </w:p>
    <w:p w14:paraId="0947E6AA" w14:textId="31B264C1" w:rsidR="00C10969" w:rsidRDefault="00C3269D" w:rsidP="00DA403C">
      <w:pPr>
        <w:rPr>
          <w:sz w:val="24"/>
          <w:szCs w:val="24"/>
        </w:rPr>
      </w:pPr>
      <w:r>
        <w:rPr>
          <w:sz w:val="24"/>
          <w:szCs w:val="24"/>
        </w:rPr>
        <w:t xml:space="preserve">All of the faculty who scored </w:t>
      </w:r>
      <w:r w:rsidR="00F2426E" w:rsidRPr="00211D0B">
        <w:rPr>
          <w:sz w:val="24"/>
          <w:szCs w:val="24"/>
        </w:rPr>
        <w:t xml:space="preserve">artifacts </w:t>
      </w:r>
      <w:r w:rsidR="00DD66DA" w:rsidRPr="00211D0B">
        <w:rPr>
          <w:sz w:val="24"/>
          <w:szCs w:val="24"/>
        </w:rPr>
        <w:t xml:space="preserve">participated in a norming session </w:t>
      </w:r>
      <w:r w:rsidR="00F2426E" w:rsidRPr="00211D0B">
        <w:rPr>
          <w:sz w:val="24"/>
          <w:szCs w:val="24"/>
        </w:rPr>
        <w:t xml:space="preserve">prior to receiving their assignments </w:t>
      </w:r>
      <w:r w:rsidR="00DD66DA" w:rsidRPr="00211D0B">
        <w:rPr>
          <w:sz w:val="24"/>
          <w:szCs w:val="24"/>
        </w:rPr>
        <w:t xml:space="preserve">to ensure that the criteria was clear and </w:t>
      </w:r>
      <w:r w:rsidR="00F2426E" w:rsidRPr="00211D0B">
        <w:rPr>
          <w:sz w:val="24"/>
          <w:szCs w:val="24"/>
        </w:rPr>
        <w:t>that all were applying the rubric in roughly the same way.</w:t>
      </w:r>
      <w:r w:rsidR="00AB1B44" w:rsidRPr="00211D0B">
        <w:rPr>
          <w:sz w:val="24"/>
          <w:szCs w:val="24"/>
        </w:rPr>
        <w:t xml:space="preserve"> Scores for each criterion for every artifact were transferred into an Excel spreadsheet and analyzed.</w:t>
      </w:r>
    </w:p>
    <w:p w14:paraId="4C21DD90" w14:textId="318E5D60" w:rsidR="00430A7B" w:rsidRDefault="00430A7B" w:rsidP="00DA403C">
      <w:pPr>
        <w:rPr>
          <w:sz w:val="24"/>
          <w:szCs w:val="24"/>
        </w:rPr>
      </w:pPr>
    </w:p>
    <w:p w14:paraId="0E3FA3B7" w14:textId="318E5D60" w:rsidR="00430A7B" w:rsidRDefault="00430A7B" w:rsidP="00DA403C">
      <w:pPr>
        <w:rPr>
          <w:sz w:val="24"/>
          <w:szCs w:val="24"/>
        </w:rPr>
      </w:pPr>
    </w:p>
    <w:p w14:paraId="606AB397" w14:textId="318E5D60" w:rsidR="00430A7B" w:rsidRDefault="00430A7B" w:rsidP="00DA403C">
      <w:pPr>
        <w:rPr>
          <w:sz w:val="24"/>
          <w:szCs w:val="24"/>
        </w:rPr>
      </w:pPr>
    </w:p>
    <w:p w14:paraId="3596976D" w14:textId="318E5D60" w:rsidR="00430A7B" w:rsidRDefault="00430A7B" w:rsidP="00DA403C">
      <w:pPr>
        <w:rPr>
          <w:sz w:val="24"/>
          <w:szCs w:val="24"/>
        </w:rPr>
      </w:pPr>
    </w:p>
    <w:p w14:paraId="147039D0" w14:textId="23D01097" w:rsidR="00430A7B" w:rsidRDefault="00430A7B" w:rsidP="00DA403C">
      <w:pPr>
        <w:rPr>
          <w:sz w:val="24"/>
          <w:szCs w:val="24"/>
        </w:rPr>
      </w:pPr>
    </w:p>
    <w:p w14:paraId="0019277C" w14:textId="73A18F69" w:rsidR="00C3269D" w:rsidRDefault="00C3269D" w:rsidP="00DA403C">
      <w:pPr>
        <w:rPr>
          <w:sz w:val="24"/>
          <w:szCs w:val="24"/>
        </w:rPr>
      </w:pPr>
    </w:p>
    <w:p w14:paraId="1807A90E" w14:textId="77777777" w:rsidR="00C3269D" w:rsidRDefault="00C3269D" w:rsidP="00DA403C">
      <w:pPr>
        <w:rPr>
          <w:sz w:val="24"/>
          <w:szCs w:val="24"/>
        </w:rPr>
      </w:pPr>
    </w:p>
    <w:p w14:paraId="080C20EE" w14:textId="318E5D60" w:rsidR="00430A7B" w:rsidRDefault="00430A7B" w:rsidP="00DA403C">
      <w:pPr>
        <w:rPr>
          <w:sz w:val="24"/>
          <w:szCs w:val="24"/>
        </w:rPr>
      </w:pPr>
    </w:p>
    <w:p w14:paraId="059D9D94" w14:textId="318E5D60" w:rsidR="00430A7B" w:rsidRPr="00211D0B" w:rsidRDefault="00430A7B" w:rsidP="00DA403C">
      <w:pPr>
        <w:rPr>
          <w:sz w:val="24"/>
          <w:szCs w:val="24"/>
        </w:rPr>
      </w:pPr>
    </w:p>
    <w:p w14:paraId="36704A0D" w14:textId="77777777" w:rsidR="009F780E" w:rsidRDefault="00DA403C" w:rsidP="00C46B9C">
      <w:pPr>
        <w:pStyle w:val="Heading1"/>
      </w:pPr>
      <w:r>
        <w:lastRenderedPageBreak/>
        <w:t>Results</w:t>
      </w:r>
    </w:p>
    <w:p w14:paraId="018C1124" w14:textId="5D5E58B9" w:rsidR="004E7837" w:rsidRDefault="004E7837" w:rsidP="004E7837">
      <w:pPr>
        <w:pStyle w:val="Heading2"/>
      </w:pPr>
      <w:r>
        <w:t>CRT-Essays</w:t>
      </w:r>
      <w:r w:rsidR="003D4278">
        <w:t xml:space="preserve"> – All Data</w:t>
      </w:r>
    </w:p>
    <w:p w14:paraId="1E0CAD30" w14:textId="3BDD5FF3" w:rsidR="009F780E" w:rsidRDefault="4F4792F3" w:rsidP="00DA403C">
      <w:pPr>
        <w:rPr>
          <w:sz w:val="24"/>
          <w:szCs w:val="24"/>
        </w:rPr>
      </w:pPr>
      <w:r w:rsidRPr="00211D0B">
        <w:rPr>
          <w:sz w:val="24"/>
          <w:szCs w:val="24"/>
        </w:rPr>
        <w:t>On a scale of 1 to 4, where 1 is the lowest and 4 the hi</w:t>
      </w:r>
      <w:r w:rsidR="00777E2A">
        <w:rPr>
          <w:sz w:val="24"/>
          <w:szCs w:val="24"/>
        </w:rPr>
        <w:t>ghest, the average score for 288 scored</w:t>
      </w:r>
      <w:r w:rsidRPr="00211D0B">
        <w:rPr>
          <w:sz w:val="24"/>
          <w:szCs w:val="24"/>
        </w:rPr>
        <w:t xml:space="preserve"> </w:t>
      </w:r>
      <w:r w:rsidR="003D4278">
        <w:rPr>
          <w:sz w:val="24"/>
          <w:szCs w:val="24"/>
        </w:rPr>
        <w:t xml:space="preserve">CRT-Essays </w:t>
      </w:r>
      <w:r w:rsidRPr="00211D0B">
        <w:rPr>
          <w:sz w:val="24"/>
          <w:szCs w:val="24"/>
        </w:rPr>
        <w:t xml:space="preserve">criteria was </w:t>
      </w:r>
      <w:r w:rsidRPr="003D4278">
        <w:rPr>
          <w:sz w:val="24"/>
          <w:szCs w:val="24"/>
        </w:rPr>
        <w:t>3.</w:t>
      </w:r>
      <w:r w:rsidR="003D4278" w:rsidRPr="003D4278">
        <w:rPr>
          <w:sz w:val="24"/>
          <w:szCs w:val="24"/>
        </w:rPr>
        <w:t>04</w:t>
      </w:r>
      <w:r w:rsidRPr="003D4278">
        <w:rPr>
          <w:sz w:val="24"/>
          <w:szCs w:val="24"/>
        </w:rPr>
        <w:t xml:space="preserve">, which places students between the competent and accomplished levels. The highest </w:t>
      </w:r>
      <w:r w:rsidR="00FD6D00" w:rsidRPr="003D4278">
        <w:rPr>
          <w:sz w:val="24"/>
          <w:szCs w:val="24"/>
        </w:rPr>
        <w:t xml:space="preserve">average </w:t>
      </w:r>
      <w:r w:rsidRPr="003D4278">
        <w:rPr>
          <w:sz w:val="24"/>
          <w:szCs w:val="24"/>
        </w:rPr>
        <w:t xml:space="preserve">score was for the </w:t>
      </w:r>
      <w:r w:rsidR="003D4278">
        <w:rPr>
          <w:sz w:val="24"/>
          <w:szCs w:val="24"/>
        </w:rPr>
        <w:t>E</w:t>
      </w:r>
      <w:r w:rsidR="003D4278" w:rsidRPr="003D4278">
        <w:rPr>
          <w:sz w:val="24"/>
          <w:szCs w:val="24"/>
        </w:rPr>
        <w:t xml:space="preserve">xplanation of </w:t>
      </w:r>
      <w:r w:rsidR="003D4278">
        <w:rPr>
          <w:sz w:val="24"/>
          <w:szCs w:val="24"/>
        </w:rPr>
        <w:t>I</w:t>
      </w:r>
      <w:r w:rsidR="003D4278" w:rsidRPr="003D4278">
        <w:rPr>
          <w:sz w:val="24"/>
          <w:szCs w:val="24"/>
        </w:rPr>
        <w:t>ssues/</w:t>
      </w:r>
      <w:r w:rsidR="003D4278">
        <w:rPr>
          <w:sz w:val="24"/>
          <w:szCs w:val="24"/>
        </w:rPr>
        <w:t>P</w:t>
      </w:r>
      <w:r w:rsidR="003D4278" w:rsidRPr="003D4278">
        <w:rPr>
          <w:sz w:val="24"/>
          <w:szCs w:val="24"/>
        </w:rPr>
        <w:t>roblems</w:t>
      </w:r>
      <w:r w:rsidRPr="003D4278">
        <w:rPr>
          <w:sz w:val="24"/>
          <w:szCs w:val="24"/>
        </w:rPr>
        <w:t xml:space="preserve"> criterion at 3.</w:t>
      </w:r>
      <w:r w:rsidR="003D4278" w:rsidRPr="003D4278">
        <w:rPr>
          <w:sz w:val="24"/>
          <w:szCs w:val="24"/>
        </w:rPr>
        <w:t>23</w:t>
      </w:r>
      <w:r w:rsidRPr="003D4278">
        <w:rPr>
          <w:sz w:val="24"/>
          <w:szCs w:val="24"/>
        </w:rPr>
        <w:t xml:space="preserve">, followed by </w:t>
      </w:r>
      <w:r w:rsidR="003D4278">
        <w:rPr>
          <w:sz w:val="24"/>
          <w:szCs w:val="24"/>
        </w:rPr>
        <w:t>S</w:t>
      </w:r>
      <w:r w:rsidR="003D4278" w:rsidRPr="003D4278">
        <w:rPr>
          <w:sz w:val="24"/>
          <w:szCs w:val="24"/>
        </w:rPr>
        <w:t>tudent’</w:t>
      </w:r>
      <w:r w:rsidR="003D4278">
        <w:rPr>
          <w:sz w:val="24"/>
          <w:szCs w:val="24"/>
        </w:rPr>
        <w:t>s P</w:t>
      </w:r>
      <w:r w:rsidR="003D4278" w:rsidRPr="003D4278">
        <w:rPr>
          <w:sz w:val="24"/>
          <w:szCs w:val="24"/>
        </w:rPr>
        <w:t xml:space="preserve">osition (perspective, thesis/hypothesis) </w:t>
      </w:r>
      <w:r w:rsidR="003D4278">
        <w:rPr>
          <w:sz w:val="24"/>
          <w:szCs w:val="24"/>
        </w:rPr>
        <w:t xml:space="preserve">criterion </w:t>
      </w:r>
      <w:r w:rsidR="003D4278" w:rsidRPr="003D4278">
        <w:rPr>
          <w:sz w:val="24"/>
          <w:szCs w:val="24"/>
        </w:rPr>
        <w:t>at 3.14</w:t>
      </w:r>
      <w:r w:rsidRPr="003D4278">
        <w:rPr>
          <w:sz w:val="24"/>
          <w:szCs w:val="24"/>
        </w:rPr>
        <w:t>, then</w:t>
      </w:r>
      <w:r w:rsidR="003D4278">
        <w:rPr>
          <w:sz w:val="24"/>
          <w:szCs w:val="24"/>
        </w:rPr>
        <w:t xml:space="preserve"> the</w:t>
      </w:r>
      <w:r w:rsidRPr="003D4278">
        <w:rPr>
          <w:sz w:val="24"/>
          <w:szCs w:val="24"/>
        </w:rPr>
        <w:t xml:space="preserve"> </w:t>
      </w:r>
      <w:r w:rsidR="003D4278">
        <w:rPr>
          <w:sz w:val="24"/>
          <w:szCs w:val="24"/>
        </w:rPr>
        <w:t>Evaluation and C</w:t>
      </w:r>
      <w:r w:rsidR="003D4278" w:rsidRPr="003D4278">
        <w:rPr>
          <w:sz w:val="24"/>
          <w:szCs w:val="24"/>
        </w:rPr>
        <w:t>onclusion</w:t>
      </w:r>
      <w:r w:rsidRPr="003D4278">
        <w:rPr>
          <w:sz w:val="24"/>
          <w:szCs w:val="24"/>
        </w:rPr>
        <w:t xml:space="preserve"> </w:t>
      </w:r>
      <w:r w:rsidR="003D4278">
        <w:rPr>
          <w:sz w:val="24"/>
          <w:szCs w:val="24"/>
        </w:rPr>
        <w:t xml:space="preserve">criterion </w:t>
      </w:r>
      <w:r w:rsidRPr="003D4278">
        <w:rPr>
          <w:sz w:val="24"/>
          <w:szCs w:val="24"/>
        </w:rPr>
        <w:t>at 3.</w:t>
      </w:r>
      <w:r w:rsidR="004D6E87" w:rsidRPr="003D4278">
        <w:rPr>
          <w:sz w:val="24"/>
          <w:szCs w:val="24"/>
        </w:rPr>
        <w:t>0</w:t>
      </w:r>
      <w:r w:rsidR="003D4278" w:rsidRPr="003D4278">
        <w:rPr>
          <w:sz w:val="24"/>
          <w:szCs w:val="24"/>
        </w:rPr>
        <w:t>6</w:t>
      </w:r>
      <w:r w:rsidRPr="003D4278">
        <w:rPr>
          <w:sz w:val="24"/>
          <w:szCs w:val="24"/>
        </w:rPr>
        <w:t xml:space="preserve">, and finally </w:t>
      </w:r>
      <w:r w:rsidR="003D4278">
        <w:rPr>
          <w:sz w:val="24"/>
          <w:szCs w:val="24"/>
        </w:rPr>
        <w:t>the Analysis and C</w:t>
      </w:r>
      <w:r w:rsidR="003D4278" w:rsidRPr="003D4278">
        <w:rPr>
          <w:sz w:val="24"/>
          <w:szCs w:val="24"/>
        </w:rPr>
        <w:t xml:space="preserve">omparison </w:t>
      </w:r>
      <w:r w:rsidR="003D4278">
        <w:rPr>
          <w:sz w:val="24"/>
          <w:szCs w:val="24"/>
        </w:rPr>
        <w:t xml:space="preserve">criterion </w:t>
      </w:r>
      <w:r w:rsidR="003D4278" w:rsidRPr="003D4278">
        <w:rPr>
          <w:sz w:val="24"/>
          <w:szCs w:val="24"/>
        </w:rPr>
        <w:t>at 2.73</w:t>
      </w:r>
      <w:r w:rsidRPr="003D4278">
        <w:rPr>
          <w:sz w:val="24"/>
          <w:szCs w:val="24"/>
        </w:rPr>
        <w:t>.</w:t>
      </w:r>
      <w:r w:rsidR="000D0E25" w:rsidRPr="003D4278">
        <w:rPr>
          <w:sz w:val="24"/>
          <w:szCs w:val="24"/>
        </w:rPr>
        <w:t xml:space="preserve"> </w:t>
      </w:r>
    </w:p>
    <w:p w14:paraId="63F6C016" w14:textId="3B3E3447" w:rsidR="00370507" w:rsidRPr="00211D0B" w:rsidRDefault="00EB1FA1" w:rsidP="00DA403C">
      <w:pPr>
        <w:rPr>
          <w:sz w:val="24"/>
          <w:szCs w:val="24"/>
        </w:rPr>
      </w:pPr>
      <w:r>
        <w:rPr>
          <w:noProof/>
        </w:rPr>
        <w:drawing>
          <wp:inline distT="0" distB="0" distL="0" distR="0" wp14:anchorId="5C68502C" wp14:editId="714D459F">
            <wp:extent cx="6858000" cy="5219702"/>
            <wp:effectExtent l="0" t="0" r="0" b="0"/>
            <wp:docPr id="19540855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6858000" cy="5219702"/>
                    </a:xfrm>
                    <a:prstGeom prst="rect">
                      <a:avLst/>
                    </a:prstGeom>
                  </pic:spPr>
                </pic:pic>
              </a:graphicData>
            </a:graphic>
          </wp:inline>
        </w:drawing>
      </w:r>
    </w:p>
    <w:p w14:paraId="71852812" w14:textId="676FCF15" w:rsidR="00DB745B" w:rsidRDefault="00DB745B" w:rsidP="00DB745B">
      <w:pPr>
        <w:ind w:left="90"/>
        <w:rPr>
          <w:noProof/>
        </w:rPr>
      </w:pPr>
    </w:p>
    <w:p w14:paraId="2B226F49" w14:textId="318E5D60" w:rsidR="00430A7B" w:rsidRDefault="00430A7B" w:rsidP="003D4278">
      <w:pPr>
        <w:pStyle w:val="Heading2"/>
      </w:pPr>
    </w:p>
    <w:p w14:paraId="563BE2D2" w14:textId="318E5D60" w:rsidR="00430A7B" w:rsidRDefault="00430A7B" w:rsidP="00430A7B"/>
    <w:p w14:paraId="17F976DE" w14:textId="318E5D60" w:rsidR="00430A7B" w:rsidRDefault="00430A7B" w:rsidP="00430A7B"/>
    <w:p w14:paraId="5FEE29F5" w14:textId="318E5D60" w:rsidR="00430A7B" w:rsidRDefault="00430A7B" w:rsidP="00430A7B"/>
    <w:p w14:paraId="4D12932C" w14:textId="318E5D60" w:rsidR="00430A7B" w:rsidRDefault="00430A7B" w:rsidP="00430A7B"/>
    <w:p w14:paraId="4E42A67E" w14:textId="318E5D60" w:rsidR="00430A7B" w:rsidRDefault="00430A7B" w:rsidP="00430A7B"/>
    <w:p w14:paraId="4640DD1B" w14:textId="318E5D60" w:rsidR="00430A7B" w:rsidRPr="00430A7B" w:rsidRDefault="00430A7B" w:rsidP="00430A7B"/>
    <w:p w14:paraId="0F65987C" w14:textId="79BE3BB6" w:rsidR="003D4278" w:rsidRDefault="003D4278" w:rsidP="003D4278">
      <w:pPr>
        <w:pStyle w:val="Heading2"/>
      </w:pPr>
      <w:r>
        <w:t>CRT-STEM – All Data</w:t>
      </w:r>
    </w:p>
    <w:p w14:paraId="26DA69D8" w14:textId="21E7136E" w:rsidR="00777E2A" w:rsidRDefault="003D4278" w:rsidP="00777E2A">
      <w:pPr>
        <w:rPr>
          <w:sz w:val="24"/>
          <w:szCs w:val="24"/>
        </w:rPr>
      </w:pPr>
      <w:r w:rsidRPr="52AF78E5">
        <w:rPr>
          <w:sz w:val="24"/>
          <w:szCs w:val="24"/>
        </w:rPr>
        <w:t>On a scale of 1 to 4, where 1 is the lowest and 4 the hi</w:t>
      </w:r>
      <w:r w:rsidR="00777E2A" w:rsidRPr="52AF78E5">
        <w:rPr>
          <w:sz w:val="24"/>
          <w:szCs w:val="24"/>
        </w:rPr>
        <w:t>ghest, the average score for 52 scored</w:t>
      </w:r>
      <w:r w:rsidRPr="52AF78E5">
        <w:rPr>
          <w:sz w:val="24"/>
          <w:szCs w:val="24"/>
        </w:rPr>
        <w:t xml:space="preserve"> CRT-STEM criteria was 3.35, which places students between the competent and accomplished levels. The highest average score was for the </w:t>
      </w:r>
      <w:r w:rsidR="00C61FEB" w:rsidRPr="52AF78E5">
        <w:rPr>
          <w:sz w:val="24"/>
          <w:szCs w:val="24"/>
        </w:rPr>
        <w:t>Finding/Evaluating Data that Addresses the Question/Hypotheses</w:t>
      </w:r>
      <w:r w:rsidRPr="52AF78E5">
        <w:rPr>
          <w:sz w:val="24"/>
          <w:szCs w:val="24"/>
        </w:rPr>
        <w:t xml:space="preserve"> criterion at 3.</w:t>
      </w:r>
      <w:r w:rsidR="00BD3CEF" w:rsidRPr="52AF78E5">
        <w:rPr>
          <w:sz w:val="24"/>
          <w:szCs w:val="24"/>
        </w:rPr>
        <w:t>54</w:t>
      </w:r>
      <w:r w:rsidRPr="52AF78E5">
        <w:rPr>
          <w:sz w:val="24"/>
          <w:szCs w:val="24"/>
        </w:rPr>
        <w:t xml:space="preserve">, followed by </w:t>
      </w:r>
      <w:r w:rsidR="00BD3CEF" w:rsidRPr="52AF78E5">
        <w:rPr>
          <w:sz w:val="24"/>
          <w:szCs w:val="24"/>
        </w:rPr>
        <w:t>the Identifying Main Idea/Hypothesis of Research or Problem criterion</w:t>
      </w:r>
      <w:r w:rsidRPr="52AF78E5">
        <w:rPr>
          <w:sz w:val="24"/>
          <w:szCs w:val="24"/>
        </w:rPr>
        <w:t xml:space="preserve"> at </w:t>
      </w:r>
      <w:r w:rsidR="00BD3CEF" w:rsidRPr="52AF78E5">
        <w:rPr>
          <w:sz w:val="24"/>
          <w:szCs w:val="24"/>
        </w:rPr>
        <w:t>3.</w:t>
      </w:r>
      <w:r w:rsidRPr="52AF78E5">
        <w:rPr>
          <w:sz w:val="24"/>
          <w:szCs w:val="24"/>
        </w:rPr>
        <w:t>4</w:t>
      </w:r>
      <w:r w:rsidR="00BD3CEF" w:rsidRPr="52AF78E5">
        <w:rPr>
          <w:sz w:val="24"/>
          <w:szCs w:val="24"/>
        </w:rPr>
        <w:t>0</w:t>
      </w:r>
      <w:r w:rsidRPr="52AF78E5">
        <w:rPr>
          <w:sz w:val="24"/>
          <w:szCs w:val="24"/>
        </w:rPr>
        <w:t xml:space="preserve">, then </w:t>
      </w:r>
      <w:r w:rsidR="00BD3CEF" w:rsidRPr="52AF78E5">
        <w:rPr>
          <w:sz w:val="24"/>
          <w:szCs w:val="24"/>
        </w:rPr>
        <w:t>the Evaluating Credibility of Data criterion</w:t>
      </w:r>
      <w:r w:rsidRPr="52AF78E5">
        <w:rPr>
          <w:sz w:val="24"/>
          <w:szCs w:val="24"/>
        </w:rPr>
        <w:t xml:space="preserve"> at 3.</w:t>
      </w:r>
      <w:r w:rsidR="00BD3CEF" w:rsidRPr="52AF78E5">
        <w:rPr>
          <w:sz w:val="24"/>
          <w:szCs w:val="24"/>
        </w:rPr>
        <w:t>33</w:t>
      </w:r>
      <w:r w:rsidRPr="52AF78E5">
        <w:rPr>
          <w:sz w:val="24"/>
          <w:szCs w:val="24"/>
        </w:rPr>
        <w:t xml:space="preserve">, and finally </w:t>
      </w:r>
      <w:r w:rsidR="00BD3CEF" w:rsidRPr="52AF78E5">
        <w:rPr>
          <w:sz w:val="24"/>
          <w:szCs w:val="24"/>
        </w:rPr>
        <w:t>the Evaluating and Drawing Relevant Conclusions From the Data criterion at 3.14</w:t>
      </w:r>
      <w:r w:rsidRPr="52AF78E5">
        <w:rPr>
          <w:sz w:val="24"/>
          <w:szCs w:val="24"/>
        </w:rPr>
        <w:t>.</w:t>
      </w:r>
    </w:p>
    <w:p w14:paraId="479785D8" w14:textId="5AAF4771" w:rsidR="003D4278" w:rsidRDefault="003D4278" w:rsidP="003D4278">
      <w:pPr>
        <w:rPr>
          <w:sz w:val="24"/>
          <w:szCs w:val="24"/>
        </w:rPr>
      </w:pPr>
    </w:p>
    <w:p w14:paraId="1EB7659F" w14:textId="77965B0E" w:rsidR="00767093" w:rsidRDefault="00767093" w:rsidP="003D4278">
      <w:pPr>
        <w:rPr>
          <w:sz w:val="24"/>
          <w:szCs w:val="24"/>
        </w:rPr>
      </w:pPr>
      <w:r>
        <w:rPr>
          <w:noProof/>
        </w:rPr>
        <w:drawing>
          <wp:inline distT="0" distB="0" distL="0" distR="0" wp14:anchorId="5E30278A" wp14:editId="1E611BD2">
            <wp:extent cx="6858000" cy="4507865"/>
            <wp:effectExtent l="0" t="0" r="0" b="6985"/>
            <wp:docPr id="7766067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6858000" cy="4507865"/>
                    </a:xfrm>
                    <a:prstGeom prst="rect">
                      <a:avLst/>
                    </a:prstGeom>
                  </pic:spPr>
                </pic:pic>
              </a:graphicData>
            </a:graphic>
          </wp:inline>
        </w:drawing>
      </w:r>
    </w:p>
    <w:p w14:paraId="1EE0E576" w14:textId="363AD9EB" w:rsidR="00430A7B" w:rsidRDefault="00430A7B" w:rsidP="003D4278">
      <w:pPr>
        <w:rPr>
          <w:sz w:val="24"/>
          <w:szCs w:val="24"/>
        </w:rPr>
      </w:pPr>
    </w:p>
    <w:p w14:paraId="0AC6D308" w14:textId="30FFD4F3" w:rsidR="001F5541" w:rsidRDefault="001F5541" w:rsidP="003D4278">
      <w:pPr>
        <w:rPr>
          <w:sz w:val="24"/>
          <w:szCs w:val="24"/>
        </w:rPr>
      </w:pPr>
    </w:p>
    <w:p w14:paraId="61993BFA" w14:textId="2B73F76A" w:rsidR="001F5541" w:rsidRDefault="001F5541" w:rsidP="003D4278">
      <w:pPr>
        <w:rPr>
          <w:sz w:val="24"/>
          <w:szCs w:val="24"/>
        </w:rPr>
      </w:pPr>
    </w:p>
    <w:p w14:paraId="1AE769F0" w14:textId="59480625" w:rsidR="001F5541" w:rsidRDefault="001F5541" w:rsidP="003D4278">
      <w:pPr>
        <w:rPr>
          <w:sz w:val="24"/>
          <w:szCs w:val="24"/>
        </w:rPr>
      </w:pPr>
    </w:p>
    <w:p w14:paraId="3B20A44A" w14:textId="1C4A826D" w:rsidR="001F5541" w:rsidRDefault="001F5541" w:rsidP="003D4278">
      <w:pPr>
        <w:rPr>
          <w:sz w:val="24"/>
          <w:szCs w:val="24"/>
        </w:rPr>
      </w:pPr>
    </w:p>
    <w:p w14:paraId="717A4D56" w14:textId="77777777" w:rsidR="001F5541" w:rsidRPr="00211D0B" w:rsidRDefault="001F5541" w:rsidP="003D4278">
      <w:pPr>
        <w:rPr>
          <w:sz w:val="24"/>
          <w:szCs w:val="24"/>
        </w:rPr>
      </w:pPr>
    </w:p>
    <w:p w14:paraId="2C08A784" w14:textId="08C8B76D" w:rsidR="00C77043" w:rsidRPr="00C77043" w:rsidRDefault="00C77043" w:rsidP="00C77043">
      <w:pPr>
        <w:pStyle w:val="Heading2"/>
      </w:pPr>
      <w:r>
        <w:lastRenderedPageBreak/>
        <w:t>CRT-Essays - 100-Level</w:t>
      </w:r>
    </w:p>
    <w:p w14:paraId="57DD34AC" w14:textId="3E50101A" w:rsidR="43248D27" w:rsidRDefault="7CC322CA" w:rsidP="7CC322CA">
      <w:pPr>
        <w:rPr>
          <w:sz w:val="24"/>
          <w:szCs w:val="24"/>
        </w:rPr>
      </w:pPr>
      <w:r w:rsidRPr="00C77043">
        <w:rPr>
          <w:sz w:val="24"/>
          <w:szCs w:val="24"/>
        </w:rPr>
        <w:t xml:space="preserve">A total of </w:t>
      </w:r>
      <w:r w:rsidR="00C77043">
        <w:rPr>
          <w:sz w:val="24"/>
          <w:szCs w:val="24"/>
        </w:rPr>
        <w:t>2</w:t>
      </w:r>
      <w:r w:rsidR="00BF7266">
        <w:rPr>
          <w:sz w:val="24"/>
          <w:szCs w:val="24"/>
        </w:rPr>
        <w:t>4</w:t>
      </w:r>
      <w:r w:rsidR="00511A87" w:rsidRPr="00C77043">
        <w:rPr>
          <w:sz w:val="24"/>
          <w:szCs w:val="24"/>
        </w:rPr>
        <w:t>4</w:t>
      </w:r>
      <w:r w:rsidRPr="00C77043">
        <w:rPr>
          <w:sz w:val="24"/>
          <w:szCs w:val="24"/>
        </w:rPr>
        <w:t xml:space="preserve"> artifacts from 100-level classes were</w:t>
      </w:r>
      <w:r w:rsidR="00BF7266">
        <w:rPr>
          <w:sz w:val="24"/>
          <w:szCs w:val="24"/>
        </w:rPr>
        <w:t xml:space="preserve"> essay-type artifacts </w:t>
      </w:r>
      <w:r w:rsidR="00511A87" w:rsidRPr="00C77043">
        <w:rPr>
          <w:sz w:val="24"/>
          <w:szCs w:val="24"/>
        </w:rPr>
        <w:t xml:space="preserve">and </w:t>
      </w:r>
      <w:r w:rsidR="00BF7266">
        <w:rPr>
          <w:sz w:val="24"/>
          <w:szCs w:val="24"/>
        </w:rPr>
        <w:t>16</w:t>
      </w:r>
      <w:r w:rsidR="00511A87" w:rsidRPr="00C77043">
        <w:rPr>
          <w:sz w:val="24"/>
          <w:szCs w:val="24"/>
        </w:rPr>
        <w:t>1</w:t>
      </w:r>
      <w:r w:rsidR="00BF7266">
        <w:rPr>
          <w:sz w:val="24"/>
          <w:szCs w:val="24"/>
        </w:rPr>
        <w:t xml:space="preserve"> </w:t>
      </w:r>
      <w:r w:rsidR="00511A87" w:rsidRPr="00C77043">
        <w:rPr>
          <w:sz w:val="24"/>
          <w:szCs w:val="24"/>
        </w:rPr>
        <w:t>were scored,</w:t>
      </w:r>
      <w:r w:rsidR="00C77043" w:rsidRPr="00C77043">
        <w:rPr>
          <w:sz w:val="24"/>
          <w:szCs w:val="24"/>
        </w:rPr>
        <w:t xml:space="preserve"> or</w:t>
      </w:r>
      <w:r w:rsidR="00511A87" w:rsidRPr="00C77043">
        <w:rPr>
          <w:sz w:val="24"/>
          <w:szCs w:val="24"/>
        </w:rPr>
        <w:t xml:space="preserve"> </w:t>
      </w:r>
      <w:r w:rsidR="00BF7266">
        <w:rPr>
          <w:sz w:val="24"/>
          <w:szCs w:val="24"/>
        </w:rPr>
        <w:t>66</w:t>
      </w:r>
      <w:r w:rsidR="00C77043" w:rsidRPr="00C77043">
        <w:rPr>
          <w:sz w:val="24"/>
          <w:szCs w:val="24"/>
        </w:rPr>
        <w:t xml:space="preserve">% of the total. </w:t>
      </w:r>
      <w:r w:rsidR="00511A87" w:rsidRPr="00C77043">
        <w:rPr>
          <w:sz w:val="24"/>
          <w:szCs w:val="24"/>
        </w:rPr>
        <w:t xml:space="preserve"> </w:t>
      </w:r>
      <w:r w:rsidR="00C07282">
        <w:rPr>
          <w:sz w:val="24"/>
          <w:szCs w:val="24"/>
        </w:rPr>
        <w:t>The average of</w:t>
      </w:r>
      <w:r w:rsidRPr="00C77043">
        <w:rPr>
          <w:sz w:val="24"/>
          <w:szCs w:val="24"/>
        </w:rPr>
        <w:t xml:space="preserve"> all criteria for these artifacts </w:t>
      </w:r>
      <w:r w:rsidR="00C77043" w:rsidRPr="00C77043">
        <w:rPr>
          <w:sz w:val="24"/>
          <w:szCs w:val="24"/>
        </w:rPr>
        <w:t>was 3.04</w:t>
      </w:r>
      <w:r w:rsidRPr="00C77043">
        <w:rPr>
          <w:sz w:val="24"/>
          <w:szCs w:val="24"/>
        </w:rPr>
        <w:t xml:space="preserve">. The highest average score was </w:t>
      </w:r>
      <w:r w:rsidR="00C77043" w:rsidRPr="00C77043">
        <w:rPr>
          <w:sz w:val="24"/>
          <w:szCs w:val="24"/>
        </w:rPr>
        <w:t>the Explanation of Issues/Problems criterion</w:t>
      </w:r>
      <w:r w:rsidRPr="00C77043">
        <w:rPr>
          <w:sz w:val="24"/>
          <w:szCs w:val="24"/>
        </w:rPr>
        <w:t xml:space="preserve"> at 3.1</w:t>
      </w:r>
      <w:r w:rsidR="00C77043" w:rsidRPr="00C77043">
        <w:rPr>
          <w:sz w:val="24"/>
          <w:szCs w:val="24"/>
        </w:rPr>
        <w:t>7</w:t>
      </w:r>
      <w:r w:rsidRPr="00C77043">
        <w:rPr>
          <w:sz w:val="24"/>
          <w:szCs w:val="24"/>
        </w:rPr>
        <w:t xml:space="preserve">, followed by </w:t>
      </w:r>
      <w:r w:rsidR="00C77043" w:rsidRPr="00C77043">
        <w:rPr>
          <w:sz w:val="24"/>
          <w:szCs w:val="24"/>
        </w:rPr>
        <w:t>the Student’s Position (perspective, thesis/hypothesis) criterion</w:t>
      </w:r>
      <w:r w:rsidRPr="00C77043">
        <w:rPr>
          <w:sz w:val="24"/>
          <w:szCs w:val="24"/>
        </w:rPr>
        <w:t xml:space="preserve"> at 3.</w:t>
      </w:r>
      <w:r w:rsidR="00C77043" w:rsidRPr="00C77043">
        <w:rPr>
          <w:sz w:val="24"/>
          <w:szCs w:val="24"/>
        </w:rPr>
        <w:t>06</w:t>
      </w:r>
      <w:r w:rsidRPr="00C77043">
        <w:rPr>
          <w:sz w:val="24"/>
          <w:szCs w:val="24"/>
        </w:rPr>
        <w:t xml:space="preserve">, </w:t>
      </w:r>
      <w:r w:rsidR="00C77043" w:rsidRPr="00C77043">
        <w:rPr>
          <w:sz w:val="24"/>
          <w:szCs w:val="24"/>
        </w:rPr>
        <w:t xml:space="preserve">then the Evaluation and Conclusion criterion at 2.99, </w:t>
      </w:r>
      <w:r w:rsidRPr="00C77043">
        <w:rPr>
          <w:sz w:val="24"/>
          <w:szCs w:val="24"/>
        </w:rPr>
        <w:t xml:space="preserve">and finally </w:t>
      </w:r>
      <w:r w:rsidR="00C77043" w:rsidRPr="00C77043">
        <w:rPr>
          <w:sz w:val="24"/>
          <w:szCs w:val="24"/>
        </w:rPr>
        <w:t>the Analysis and Comparison criterion at 2.87</w:t>
      </w:r>
      <w:r w:rsidRPr="00C77043">
        <w:rPr>
          <w:sz w:val="24"/>
          <w:szCs w:val="24"/>
        </w:rPr>
        <w:t>.</w:t>
      </w:r>
      <w:r w:rsidR="00475520" w:rsidRPr="00C77043">
        <w:rPr>
          <w:sz w:val="24"/>
          <w:szCs w:val="24"/>
        </w:rPr>
        <w:t xml:space="preserve"> </w:t>
      </w:r>
    </w:p>
    <w:p w14:paraId="60D6EA62" w14:textId="77777777" w:rsidR="001F5541" w:rsidRDefault="001F5541" w:rsidP="7CC322CA">
      <w:pPr>
        <w:rPr>
          <w:sz w:val="24"/>
          <w:szCs w:val="24"/>
        </w:rPr>
      </w:pPr>
    </w:p>
    <w:p w14:paraId="5FBC6D7F" w14:textId="536F88B1" w:rsidR="00C77043" w:rsidRDefault="00C77043" w:rsidP="43248D27">
      <w:pPr>
        <w:rPr>
          <w:noProof/>
          <w:highlight w:val="cyan"/>
        </w:rPr>
      </w:pPr>
      <w:r>
        <w:rPr>
          <w:noProof/>
        </w:rPr>
        <w:drawing>
          <wp:inline distT="0" distB="0" distL="0" distR="0" wp14:anchorId="78DBD014" wp14:editId="5CD1BE2D">
            <wp:extent cx="6515100" cy="4298156"/>
            <wp:effectExtent l="0" t="0" r="0" b="7620"/>
            <wp:docPr id="10808423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515100" cy="4298156"/>
                    </a:xfrm>
                    <a:prstGeom prst="rect">
                      <a:avLst/>
                    </a:prstGeom>
                  </pic:spPr>
                </pic:pic>
              </a:graphicData>
            </a:graphic>
          </wp:inline>
        </w:drawing>
      </w:r>
    </w:p>
    <w:p w14:paraId="7C2A18D5" w14:textId="5D304010" w:rsidR="001F5541" w:rsidRDefault="001F5541" w:rsidP="001F5541"/>
    <w:p w14:paraId="1F169083" w14:textId="0FBD124F" w:rsidR="001F5541" w:rsidRDefault="001F5541" w:rsidP="001F5541"/>
    <w:p w14:paraId="63742AF4" w14:textId="1EEB0633" w:rsidR="001F5541" w:rsidRDefault="001F5541" w:rsidP="001F5541"/>
    <w:p w14:paraId="3959827C" w14:textId="39EF979E" w:rsidR="001F5541" w:rsidRDefault="001F5541" w:rsidP="001F5541"/>
    <w:p w14:paraId="37984BFC" w14:textId="68A7D63D" w:rsidR="001F5541" w:rsidRDefault="001F5541" w:rsidP="001F5541"/>
    <w:p w14:paraId="09D2DE3F" w14:textId="79A4C291" w:rsidR="001F5541" w:rsidRDefault="001F5541" w:rsidP="001F5541"/>
    <w:p w14:paraId="40C930E8" w14:textId="0166146B" w:rsidR="001F5541" w:rsidRDefault="001F5541" w:rsidP="001F5541"/>
    <w:p w14:paraId="442A0212" w14:textId="77777777" w:rsidR="001F5541" w:rsidRDefault="001F5541" w:rsidP="001F5541"/>
    <w:p w14:paraId="1519B818" w14:textId="77777777" w:rsidR="001F5541" w:rsidRPr="001F5541" w:rsidRDefault="001F5541" w:rsidP="001F5541"/>
    <w:p w14:paraId="18651828" w14:textId="4F0489DF" w:rsidR="00C77043" w:rsidRPr="00C77043" w:rsidRDefault="00C77043" w:rsidP="00C77043">
      <w:pPr>
        <w:pStyle w:val="Heading2"/>
      </w:pPr>
      <w:r>
        <w:lastRenderedPageBreak/>
        <w:t>CRT-STEM - 100-Level</w:t>
      </w:r>
    </w:p>
    <w:p w14:paraId="3BC1FE13" w14:textId="087AC53D" w:rsidR="00C77043" w:rsidRDefault="00BF7266" w:rsidP="00C77043">
      <w:pPr>
        <w:rPr>
          <w:sz w:val="24"/>
          <w:szCs w:val="24"/>
        </w:rPr>
      </w:pPr>
      <w:r w:rsidRPr="52AF78E5">
        <w:rPr>
          <w:sz w:val="24"/>
          <w:szCs w:val="24"/>
        </w:rPr>
        <w:t xml:space="preserve">A total of 20 artifacts from 100-level classes were STEM-type artifacts and all 20 were scored, or 100% of the total. </w:t>
      </w:r>
      <w:r w:rsidR="00C07282" w:rsidRPr="52AF78E5">
        <w:rPr>
          <w:sz w:val="24"/>
          <w:szCs w:val="24"/>
        </w:rPr>
        <w:t>The average of</w:t>
      </w:r>
      <w:r w:rsidR="00C77043" w:rsidRPr="52AF78E5">
        <w:rPr>
          <w:sz w:val="24"/>
          <w:szCs w:val="24"/>
        </w:rPr>
        <w:t xml:space="preserve"> all criteria for these artifacts was 3.</w:t>
      </w:r>
      <w:r w:rsidRPr="52AF78E5">
        <w:rPr>
          <w:sz w:val="24"/>
          <w:szCs w:val="24"/>
        </w:rPr>
        <w:t>68</w:t>
      </w:r>
      <w:r w:rsidR="00C77043" w:rsidRPr="52AF78E5">
        <w:rPr>
          <w:sz w:val="24"/>
          <w:szCs w:val="24"/>
        </w:rPr>
        <w:t xml:space="preserve">. The highest average score was the </w:t>
      </w:r>
      <w:r w:rsidRPr="52AF78E5">
        <w:rPr>
          <w:sz w:val="24"/>
          <w:szCs w:val="24"/>
        </w:rPr>
        <w:t>Finding/Evaluating Data that Addresses the Question/Hypothesis at 3.95</w:t>
      </w:r>
      <w:r w:rsidR="00C77043" w:rsidRPr="52AF78E5">
        <w:rPr>
          <w:sz w:val="24"/>
          <w:szCs w:val="24"/>
        </w:rPr>
        <w:t xml:space="preserve">, followed by the </w:t>
      </w:r>
      <w:r w:rsidRPr="52AF78E5">
        <w:rPr>
          <w:sz w:val="24"/>
          <w:szCs w:val="24"/>
        </w:rPr>
        <w:t>Evaluating credibility of Data</w:t>
      </w:r>
      <w:r w:rsidR="00C77043" w:rsidRPr="52AF78E5">
        <w:rPr>
          <w:sz w:val="24"/>
          <w:szCs w:val="24"/>
        </w:rPr>
        <w:t xml:space="preserve"> criterion at 3.</w:t>
      </w:r>
      <w:r w:rsidRPr="52AF78E5">
        <w:rPr>
          <w:sz w:val="24"/>
          <w:szCs w:val="24"/>
        </w:rPr>
        <w:t>90</w:t>
      </w:r>
      <w:r w:rsidR="00C77043" w:rsidRPr="52AF78E5">
        <w:rPr>
          <w:sz w:val="24"/>
          <w:szCs w:val="24"/>
        </w:rPr>
        <w:t xml:space="preserve">, then the </w:t>
      </w:r>
      <w:r w:rsidRPr="52AF78E5">
        <w:rPr>
          <w:sz w:val="24"/>
          <w:szCs w:val="24"/>
        </w:rPr>
        <w:t>Identifying Main Idea/Hypothesis of Research or Problem criterion</w:t>
      </w:r>
      <w:r w:rsidR="00C77043" w:rsidRPr="52AF78E5">
        <w:rPr>
          <w:sz w:val="24"/>
          <w:szCs w:val="24"/>
        </w:rPr>
        <w:t xml:space="preserve"> at </w:t>
      </w:r>
      <w:r w:rsidRPr="52AF78E5">
        <w:rPr>
          <w:sz w:val="24"/>
          <w:szCs w:val="24"/>
        </w:rPr>
        <w:t>3.55</w:t>
      </w:r>
      <w:r w:rsidR="00C77043" w:rsidRPr="52AF78E5">
        <w:rPr>
          <w:sz w:val="24"/>
          <w:szCs w:val="24"/>
        </w:rPr>
        <w:t xml:space="preserve">, and finally the </w:t>
      </w:r>
      <w:r w:rsidRPr="52AF78E5">
        <w:rPr>
          <w:sz w:val="24"/>
          <w:szCs w:val="24"/>
        </w:rPr>
        <w:t>Evaluating and Drawing Relevant Conclusions From the Data criterion at 3.37</w:t>
      </w:r>
      <w:r w:rsidR="00C77043" w:rsidRPr="52AF78E5">
        <w:rPr>
          <w:sz w:val="24"/>
          <w:szCs w:val="24"/>
        </w:rPr>
        <w:t>.</w:t>
      </w:r>
    </w:p>
    <w:p w14:paraId="6D17C67D" w14:textId="77777777" w:rsidR="001F5541" w:rsidRDefault="001F5541" w:rsidP="00C77043">
      <w:pPr>
        <w:rPr>
          <w:sz w:val="24"/>
          <w:szCs w:val="24"/>
        </w:rPr>
      </w:pPr>
    </w:p>
    <w:p w14:paraId="7BB1A1F2" w14:textId="336E0EBA" w:rsidR="00BF7266" w:rsidRDefault="00BF7266" w:rsidP="7CC322CA">
      <w:pPr>
        <w:rPr>
          <w:sz w:val="24"/>
          <w:szCs w:val="24"/>
          <w:highlight w:val="yellow"/>
        </w:rPr>
      </w:pPr>
      <w:r>
        <w:rPr>
          <w:noProof/>
        </w:rPr>
        <w:drawing>
          <wp:inline distT="0" distB="0" distL="0" distR="0" wp14:anchorId="1DF977F9" wp14:editId="199B2A0E">
            <wp:extent cx="6657390" cy="4638674"/>
            <wp:effectExtent l="0" t="0" r="0" b="0"/>
            <wp:docPr id="21263121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6657390" cy="4638674"/>
                    </a:xfrm>
                    <a:prstGeom prst="rect">
                      <a:avLst/>
                    </a:prstGeom>
                  </pic:spPr>
                </pic:pic>
              </a:graphicData>
            </a:graphic>
          </wp:inline>
        </w:drawing>
      </w:r>
    </w:p>
    <w:p w14:paraId="78AF9E63" w14:textId="57D249C8" w:rsidR="00BF7266" w:rsidRDefault="00BF7266" w:rsidP="7CC322CA">
      <w:pPr>
        <w:rPr>
          <w:sz w:val="24"/>
          <w:szCs w:val="24"/>
          <w:highlight w:val="yellow"/>
        </w:rPr>
      </w:pPr>
    </w:p>
    <w:p w14:paraId="3965589F" w14:textId="64A8DC1F" w:rsidR="001F5541" w:rsidRDefault="001F5541" w:rsidP="7CC322CA">
      <w:pPr>
        <w:rPr>
          <w:sz w:val="24"/>
          <w:szCs w:val="24"/>
          <w:highlight w:val="yellow"/>
        </w:rPr>
      </w:pPr>
    </w:p>
    <w:p w14:paraId="3D1182C7" w14:textId="0C6E0D88" w:rsidR="001F5541" w:rsidRDefault="001F5541" w:rsidP="7CC322CA">
      <w:pPr>
        <w:rPr>
          <w:sz w:val="24"/>
          <w:szCs w:val="24"/>
          <w:highlight w:val="yellow"/>
        </w:rPr>
      </w:pPr>
    </w:p>
    <w:p w14:paraId="7509CA82" w14:textId="059014B9" w:rsidR="001F5541" w:rsidRDefault="001F5541" w:rsidP="7CC322CA">
      <w:pPr>
        <w:rPr>
          <w:sz w:val="24"/>
          <w:szCs w:val="24"/>
          <w:highlight w:val="yellow"/>
        </w:rPr>
      </w:pPr>
    </w:p>
    <w:p w14:paraId="0377B39C" w14:textId="06741C3E" w:rsidR="001F5541" w:rsidRDefault="001F5541" w:rsidP="7CC322CA">
      <w:pPr>
        <w:rPr>
          <w:sz w:val="24"/>
          <w:szCs w:val="24"/>
          <w:highlight w:val="yellow"/>
        </w:rPr>
      </w:pPr>
    </w:p>
    <w:p w14:paraId="2F6C2967" w14:textId="7C24BFC0" w:rsidR="001F5541" w:rsidRDefault="001F5541" w:rsidP="7CC322CA">
      <w:pPr>
        <w:rPr>
          <w:sz w:val="24"/>
          <w:szCs w:val="24"/>
          <w:highlight w:val="yellow"/>
        </w:rPr>
      </w:pPr>
    </w:p>
    <w:p w14:paraId="28DD2103" w14:textId="724F322E" w:rsidR="001F5541" w:rsidRDefault="001F5541" w:rsidP="7CC322CA">
      <w:pPr>
        <w:rPr>
          <w:sz w:val="24"/>
          <w:szCs w:val="24"/>
          <w:highlight w:val="yellow"/>
        </w:rPr>
      </w:pPr>
    </w:p>
    <w:p w14:paraId="35828CFE" w14:textId="7EBAEC70" w:rsidR="00BF7266" w:rsidRPr="00C77043" w:rsidRDefault="00BF7266" w:rsidP="00BF7266">
      <w:pPr>
        <w:pStyle w:val="Heading2"/>
      </w:pPr>
      <w:r>
        <w:lastRenderedPageBreak/>
        <w:t>CRT-Essays - 200-Level</w:t>
      </w:r>
    </w:p>
    <w:p w14:paraId="58BEB5B7" w14:textId="6C7993F5" w:rsidR="001F5541" w:rsidRDefault="007A2CAB" w:rsidP="001F5541">
      <w:pPr>
        <w:rPr>
          <w:sz w:val="24"/>
          <w:szCs w:val="24"/>
        </w:rPr>
      </w:pPr>
      <w:r w:rsidRPr="52AF78E5">
        <w:rPr>
          <w:sz w:val="24"/>
          <w:szCs w:val="24"/>
        </w:rPr>
        <w:t xml:space="preserve">A total of 44 artifacts from 200-level classes were essay-type artifacts and 33 were scored, or 75% of the total.  The average </w:t>
      </w:r>
      <w:r w:rsidR="00C07282" w:rsidRPr="52AF78E5">
        <w:rPr>
          <w:sz w:val="24"/>
          <w:szCs w:val="24"/>
        </w:rPr>
        <w:t>of</w:t>
      </w:r>
      <w:r w:rsidRPr="52AF78E5">
        <w:rPr>
          <w:sz w:val="24"/>
          <w:szCs w:val="24"/>
        </w:rPr>
        <w:t xml:space="preserve"> all criteria for these artifacts was 3.20. The highest average score was the Student’s Position (perspective, thesis/hypothesis) criterion at 3.97, followed by the Explanation of Issues/Problems criterion at 3.45, then the Evaluation and Conclusion criterion at 3.27, and finally the Analysis and Comparison criterion at 2.27.</w:t>
      </w:r>
    </w:p>
    <w:p w14:paraId="3C198E31" w14:textId="3009578A" w:rsidR="007A2CAB" w:rsidRDefault="007A2CAB" w:rsidP="007A2CAB">
      <w:pPr>
        <w:rPr>
          <w:sz w:val="24"/>
          <w:szCs w:val="24"/>
        </w:rPr>
      </w:pPr>
    </w:p>
    <w:p w14:paraId="7AB5AF81" w14:textId="2EFEA0B2" w:rsidR="001F5541" w:rsidRDefault="001F5541" w:rsidP="43248D27">
      <w:pPr>
        <w:rPr>
          <w:noProof/>
          <w:highlight w:val="cyan"/>
        </w:rPr>
      </w:pPr>
      <w:r>
        <w:rPr>
          <w:noProof/>
        </w:rPr>
        <w:drawing>
          <wp:inline distT="0" distB="0" distL="0" distR="0" wp14:anchorId="7967A2D4" wp14:editId="605AD12E">
            <wp:extent cx="6591302" cy="4366762"/>
            <wp:effectExtent l="0" t="0" r="0" b="0"/>
            <wp:docPr id="958395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591302" cy="4366762"/>
                    </a:xfrm>
                    <a:prstGeom prst="rect">
                      <a:avLst/>
                    </a:prstGeom>
                  </pic:spPr>
                </pic:pic>
              </a:graphicData>
            </a:graphic>
          </wp:inline>
        </w:drawing>
      </w:r>
    </w:p>
    <w:p w14:paraId="008719AE" w14:textId="77777777" w:rsidR="001F5541" w:rsidRDefault="001F5541" w:rsidP="43248D27">
      <w:pPr>
        <w:rPr>
          <w:noProof/>
          <w:highlight w:val="cyan"/>
        </w:rPr>
      </w:pPr>
    </w:p>
    <w:p w14:paraId="07232C62" w14:textId="77777777" w:rsidR="001F5541" w:rsidRDefault="001F5541" w:rsidP="43248D27">
      <w:pPr>
        <w:rPr>
          <w:noProof/>
          <w:highlight w:val="cyan"/>
        </w:rPr>
      </w:pPr>
    </w:p>
    <w:p w14:paraId="6B2A4FCC" w14:textId="77777777" w:rsidR="001F5541" w:rsidRDefault="001F5541" w:rsidP="43248D27">
      <w:pPr>
        <w:rPr>
          <w:noProof/>
          <w:highlight w:val="cyan"/>
        </w:rPr>
      </w:pPr>
    </w:p>
    <w:p w14:paraId="40947D4C" w14:textId="77777777" w:rsidR="001F5541" w:rsidRDefault="001F5541" w:rsidP="43248D27">
      <w:pPr>
        <w:rPr>
          <w:noProof/>
          <w:highlight w:val="cyan"/>
        </w:rPr>
      </w:pPr>
    </w:p>
    <w:p w14:paraId="21E811D3" w14:textId="77777777" w:rsidR="001F5541" w:rsidRDefault="001F5541" w:rsidP="43248D27">
      <w:pPr>
        <w:rPr>
          <w:noProof/>
          <w:highlight w:val="cyan"/>
        </w:rPr>
      </w:pPr>
    </w:p>
    <w:p w14:paraId="346420C5" w14:textId="77777777" w:rsidR="001F5541" w:rsidRDefault="001F5541" w:rsidP="43248D27">
      <w:pPr>
        <w:rPr>
          <w:noProof/>
          <w:highlight w:val="cyan"/>
        </w:rPr>
      </w:pPr>
    </w:p>
    <w:p w14:paraId="2F0C4AA8" w14:textId="77777777" w:rsidR="001F5541" w:rsidRDefault="001F5541" w:rsidP="43248D27">
      <w:pPr>
        <w:rPr>
          <w:noProof/>
          <w:highlight w:val="cyan"/>
        </w:rPr>
      </w:pPr>
    </w:p>
    <w:p w14:paraId="54A68487" w14:textId="77777777" w:rsidR="001F5541" w:rsidRDefault="001F5541" w:rsidP="43248D27">
      <w:pPr>
        <w:rPr>
          <w:noProof/>
          <w:highlight w:val="cyan"/>
        </w:rPr>
      </w:pPr>
    </w:p>
    <w:p w14:paraId="43761F97" w14:textId="77777777" w:rsidR="001F5541" w:rsidRDefault="001F5541" w:rsidP="43248D27">
      <w:pPr>
        <w:rPr>
          <w:noProof/>
          <w:highlight w:val="cyan"/>
        </w:rPr>
      </w:pPr>
    </w:p>
    <w:p w14:paraId="25A6B9E0" w14:textId="3393E6C1" w:rsidR="001F5541" w:rsidRPr="00C77043" w:rsidRDefault="001F5541" w:rsidP="001F5541">
      <w:pPr>
        <w:pStyle w:val="Heading2"/>
      </w:pPr>
      <w:r>
        <w:lastRenderedPageBreak/>
        <w:t>CRT-STEM - 200-Level</w:t>
      </w:r>
    </w:p>
    <w:p w14:paraId="08358DEF" w14:textId="1B1465D2" w:rsidR="001F5541" w:rsidRDefault="001F5541" w:rsidP="001F5541">
      <w:pPr>
        <w:rPr>
          <w:sz w:val="24"/>
          <w:szCs w:val="24"/>
        </w:rPr>
      </w:pPr>
      <w:r w:rsidRPr="52AF78E5">
        <w:rPr>
          <w:sz w:val="24"/>
          <w:szCs w:val="24"/>
        </w:rPr>
        <w:t xml:space="preserve">A total of 20 artifacts from 200-level classes were STEM-type artifacts and all 20 were scored, or 100% of the total.  </w:t>
      </w:r>
      <w:r w:rsidR="00C07282" w:rsidRPr="52AF78E5">
        <w:rPr>
          <w:sz w:val="24"/>
          <w:szCs w:val="24"/>
        </w:rPr>
        <w:t>The average of</w:t>
      </w:r>
      <w:r w:rsidRPr="52AF78E5">
        <w:rPr>
          <w:sz w:val="24"/>
          <w:szCs w:val="24"/>
        </w:rPr>
        <w:t xml:space="preserve"> all criteria for these artifacts was 2.96. The highest average score was the Identifying Main Idea/Hypothesis of Research or Problem criterion at 3.20, followed by the Finding/Evaluating Data that Addresses the Question/Hypothesis and Evaluating and Drawing Relevant Conclusions from the Data criterion, both at 2.95, and finally the Evaluating Credibility of Data criterion at 2.75.</w:t>
      </w:r>
    </w:p>
    <w:p w14:paraId="3E90CDFF" w14:textId="77777777" w:rsidR="001F5541" w:rsidRDefault="001F5541" w:rsidP="001F5541">
      <w:pPr>
        <w:rPr>
          <w:sz w:val="24"/>
          <w:szCs w:val="24"/>
        </w:rPr>
      </w:pPr>
    </w:p>
    <w:p w14:paraId="477BA044" w14:textId="77777777" w:rsidR="001F5541" w:rsidRDefault="001F5541" w:rsidP="000551ED">
      <w:pPr>
        <w:rPr>
          <w:rFonts w:ascii="Calibri" w:eastAsia="Calibri" w:hAnsi="Calibri" w:cs="Calibri"/>
          <w:highlight w:val="yellow"/>
        </w:rPr>
      </w:pPr>
      <w:r>
        <w:rPr>
          <w:noProof/>
        </w:rPr>
        <w:drawing>
          <wp:inline distT="0" distB="0" distL="0" distR="0" wp14:anchorId="5E456E22" wp14:editId="6E4F01BC">
            <wp:extent cx="6858000" cy="4100195"/>
            <wp:effectExtent l="0" t="0" r="0" b="0"/>
            <wp:docPr id="2159455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6858000" cy="4100195"/>
                    </a:xfrm>
                    <a:prstGeom prst="rect">
                      <a:avLst/>
                    </a:prstGeom>
                  </pic:spPr>
                </pic:pic>
              </a:graphicData>
            </a:graphic>
          </wp:inline>
        </w:drawing>
      </w:r>
    </w:p>
    <w:p w14:paraId="259B3C22" w14:textId="4563A841" w:rsidR="001F5541" w:rsidRDefault="001F5541" w:rsidP="000551ED">
      <w:pPr>
        <w:rPr>
          <w:rFonts w:ascii="Calibri" w:eastAsia="Calibri" w:hAnsi="Calibri" w:cs="Calibri"/>
          <w:highlight w:val="yellow"/>
        </w:rPr>
      </w:pPr>
    </w:p>
    <w:p w14:paraId="1B3A921E" w14:textId="3C7134C6" w:rsidR="00047D62" w:rsidRDefault="00047D62" w:rsidP="000551ED">
      <w:pPr>
        <w:rPr>
          <w:rFonts w:ascii="Calibri" w:eastAsia="Calibri" w:hAnsi="Calibri" w:cs="Calibri"/>
          <w:highlight w:val="yellow"/>
        </w:rPr>
      </w:pPr>
    </w:p>
    <w:p w14:paraId="5E0268B8" w14:textId="0F2F245E" w:rsidR="00047D62" w:rsidRDefault="00047D62" w:rsidP="000551ED">
      <w:pPr>
        <w:rPr>
          <w:rFonts w:ascii="Calibri" w:eastAsia="Calibri" w:hAnsi="Calibri" w:cs="Calibri"/>
          <w:highlight w:val="yellow"/>
        </w:rPr>
      </w:pPr>
    </w:p>
    <w:p w14:paraId="1E92E3B2" w14:textId="312FCD8D" w:rsidR="00047D62" w:rsidRDefault="00047D62" w:rsidP="000551ED">
      <w:pPr>
        <w:rPr>
          <w:rFonts w:ascii="Calibri" w:eastAsia="Calibri" w:hAnsi="Calibri" w:cs="Calibri"/>
          <w:highlight w:val="yellow"/>
        </w:rPr>
      </w:pPr>
    </w:p>
    <w:p w14:paraId="11ED7962" w14:textId="5EA8B62C" w:rsidR="00047D62" w:rsidRDefault="00047D62" w:rsidP="000551ED">
      <w:pPr>
        <w:rPr>
          <w:rFonts w:ascii="Calibri" w:eastAsia="Calibri" w:hAnsi="Calibri" w:cs="Calibri"/>
          <w:highlight w:val="yellow"/>
        </w:rPr>
      </w:pPr>
    </w:p>
    <w:p w14:paraId="0961A8C7" w14:textId="372E8F90" w:rsidR="00047D62" w:rsidRDefault="00047D62" w:rsidP="000551ED">
      <w:pPr>
        <w:rPr>
          <w:rFonts w:ascii="Calibri" w:eastAsia="Calibri" w:hAnsi="Calibri" w:cs="Calibri"/>
          <w:highlight w:val="yellow"/>
        </w:rPr>
      </w:pPr>
    </w:p>
    <w:p w14:paraId="10465398" w14:textId="77777777" w:rsidR="00047D62" w:rsidRDefault="00047D62" w:rsidP="000551ED">
      <w:pPr>
        <w:rPr>
          <w:rFonts w:ascii="Calibri" w:eastAsia="Calibri" w:hAnsi="Calibri" w:cs="Calibri"/>
          <w:highlight w:val="yellow"/>
        </w:rPr>
      </w:pPr>
    </w:p>
    <w:p w14:paraId="7EA24744" w14:textId="77777777" w:rsidR="001F5541" w:rsidRDefault="001F5541" w:rsidP="000551ED">
      <w:pPr>
        <w:rPr>
          <w:rFonts w:ascii="Calibri" w:eastAsia="Calibri" w:hAnsi="Calibri" w:cs="Calibri"/>
          <w:highlight w:val="yellow"/>
        </w:rPr>
      </w:pPr>
    </w:p>
    <w:p w14:paraId="13AF9AE7" w14:textId="7A89ABB2" w:rsidR="00047D62" w:rsidRPr="00C77043" w:rsidRDefault="00047D62" w:rsidP="00047D62">
      <w:pPr>
        <w:pStyle w:val="Heading2"/>
      </w:pPr>
      <w:r>
        <w:lastRenderedPageBreak/>
        <w:t>CRT-Essays - 300-Level</w:t>
      </w:r>
    </w:p>
    <w:p w14:paraId="52D638D4" w14:textId="67DB6BA9" w:rsidR="00047D62" w:rsidRDefault="00047D62" w:rsidP="00047D62">
      <w:pPr>
        <w:rPr>
          <w:sz w:val="24"/>
          <w:szCs w:val="24"/>
        </w:rPr>
      </w:pPr>
      <w:r w:rsidRPr="52AF78E5">
        <w:rPr>
          <w:sz w:val="24"/>
          <w:szCs w:val="24"/>
        </w:rPr>
        <w:t>A total of 34 artifacts from 200-level classes were essay-type artifacts and all 34 were scored, or 100% of the total.  The average of all criteria for these artifacts was 2.97. The highest average score was Explanation of Issues/Problems criterion at 3.29, followed by the Evaluation and Conclusion criterion at 3.18, then the Student’s position (perspective, thesis/hypothesis) criterion at 2.88, and finally the Analysis and Comparison criterion at 2.53.</w:t>
      </w:r>
    </w:p>
    <w:p w14:paraId="1E4373F2" w14:textId="023EEC70" w:rsidR="001F5541" w:rsidRDefault="00047D62" w:rsidP="000551ED">
      <w:pPr>
        <w:rPr>
          <w:rFonts w:ascii="Calibri" w:eastAsia="Calibri" w:hAnsi="Calibri" w:cs="Calibri"/>
          <w:highlight w:val="yellow"/>
        </w:rPr>
      </w:pPr>
      <w:r>
        <w:rPr>
          <w:noProof/>
        </w:rPr>
        <w:drawing>
          <wp:inline distT="0" distB="0" distL="0" distR="0" wp14:anchorId="12A4EBA4" wp14:editId="6E9DED3E">
            <wp:extent cx="6858000" cy="5643878"/>
            <wp:effectExtent l="0" t="0" r="0" b="0"/>
            <wp:docPr id="177353777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6858000" cy="5643878"/>
                    </a:xfrm>
                    <a:prstGeom prst="rect">
                      <a:avLst/>
                    </a:prstGeom>
                  </pic:spPr>
                </pic:pic>
              </a:graphicData>
            </a:graphic>
          </wp:inline>
        </w:drawing>
      </w:r>
    </w:p>
    <w:p w14:paraId="43012F2C" w14:textId="7F381723" w:rsidR="00047D62" w:rsidRDefault="00047D62" w:rsidP="000551ED">
      <w:pPr>
        <w:rPr>
          <w:rFonts w:ascii="Calibri" w:eastAsia="Calibri" w:hAnsi="Calibri" w:cs="Calibri"/>
          <w:highlight w:val="yellow"/>
        </w:rPr>
      </w:pPr>
    </w:p>
    <w:p w14:paraId="685D7202" w14:textId="577968F9" w:rsidR="005D2092" w:rsidRDefault="005D2092" w:rsidP="000551ED">
      <w:pPr>
        <w:rPr>
          <w:rFonts w:ascii="Calibri" w:eastAsia="Calibri" w:hAnsi="Calibri" w:cs="Calibri"/>
          <w:highlight w:val="yellow"/>
        </w:rPr>
      </w:pPr>
    </w:p>
    <w:p w14:paraId="78B7D65D" w14:textId="29FBCB07" w:rsidR="00110113" w:rsidRDefault="00BC2641" w:rsidP="000551ED">
      <w:pPr>
        <w:rPr>
          <w:rFonts w:ascii="Calibri" w:eastAsia="Calibri" w:hAnsi="Calibri" w:cs="Calibri"/>
        </w:rPr>
      </w:pPr>
      <w:r w:rsidRPr="00777E2A">
        <w:rPr>
          <w:rFonts w:ascii="Calibri" w:eastAsia="Calibri" w:hAnsi="Calibri" w:cs="Calibri"/>
        </w:rPr>
        <w:t>N</w:t>
      </w:r>
      <w:r w:rsidR="000551ED" w:rsidRPr="00777E2A">
        <w:rPr>
          <w:rFonts w:ascii="Calibri" w:eastAsia="Calibri" w:hAnsi="Calibri" w:cs="Calibri"/>
        </w:rPr>
        <w:t xml:space="preserve">OTE: </w:t>
      </w:r>
      <w:r w:rsidR="00110113">
        <w:rPr>
          <w:rFonts w:ascii="Calibri" w:eastAsia="Calibri" w:hAnsi="Calibri" w:cs="Calibri"/>
        </w:rPr>
        <w:t>There were no 300 level STEM submissions.</w:t>
      </w:r>
    </w:p>
    <w:p w14:paraId="0003B454" w14:textId="3484CC81" w:rsidR="00BC2641" w:rsidRDefault="00BC2641" w:rsidP="000551ED">
      <w:pPr>
        <w:rPr>
          <w:rFonts w:ascii="Calibri" w:eastAsia="Calibri" w:hAnsi="Calibri" w:cs="Calibri"/>
          <w:highlight w:val="yellow"/>
        </w:rPr>
      </w:pPr>
    </w:p>
    <w:p w14:paraId="65A6351F" w14:textId="1E780898" w:rsidR="00BC2641" w:rsidRDefault="00BC2641" w:rsidP="000551ED">
      <w:pPr>
        <w:rPr>
          <w:rFonts w:ascii="Calibri" w:eastAsia="Calibri" w:hAnsi="Calibri" w:cs="Calibri"/>
          <w:highlight w:val="yellow"/>
        </w:rPr>
      </w:pPr>
    </w:p>
    <w:p w14:paraId="7DEE6756" w14:textId="53483FFE" w:rsidR="00BC2641" w:rsidRDefault="00BC2641" w:rsidP="000551ED">
      <w:pPr>
        <w:rPr>
          <w:rFonts w:ascii="Calibri" w:eastAsia="Calibri" w:hAnsi="Calibri" w:cs="Calibri"/>
          <w:highlight w:val="yellow"/>
        </w:rPr>
      </w:pPr>
    </w:p>
    <w:p w14:paraId="132D4934" w14:textId="7E307276" w:rsidR="00216A58" w:rsidRDefault="00BC2641" w:rsidP="002A0C3D">
      <w:pPr>
        <w:pStyle w:val="Heading2"/>
      </w:pPr>
      <w:r>
        <w:lastRenderedPageBreak/>
        <w:t xml:space="preserve">CRT-Essays - </w:t>
      </w:r>
      <w:r w:rsidR="002A0C3D">
        <w:t>Professional-Technical Programs</w:t>
      </w:r>
    </w:p>
    <w:p w14:paraId="690F7981" w14:textId="30D90A50" w:rsidR="00BC2641" w:rsidRDefault="00BC2641" w:rsidP="00BC2641">
      <w:pPr>
        <w:rPr>
          <w:sz w:val="24"/>
          <w:szCs w:val="24"/>
        </w:rPr>
      </w:pPr>
      <w:r w:rsidRPr="52AF78E5">
        <w:rPr>
          <w:sz w:val="24"/>
          <w:szCs w:val="24"/>
        </w:rPr>
        <w:t xml:space="preserve">A total of 53 artifacts from professional-technical classes were essay-type artifacts and 42 were scored, or 79% of the total.  The average </w:t>
      </w:r>
      <w:r w:rsidR="00C07282" w:rsidRPr="52AF78E5">
        <w:rPr>
          <w:sz w:val="24"/>
          <w:szCs w:val="24"/>
        </w:rPr>
        <w:t>of</w:t>
      </w:r>
      <w:r w:rsidRPr="52AF78E5">
        <w:rPr>
          <w:sz w:val="24"/>
          <w:szCs w:val="24"/>
        </w:rPr>
        <w:t xml:space="preserve"> all criteria for these artifacts was 3.21. The highest average score was the Student’s Position (perspective, thesis/hypothesis) and the Evaluation and Conclusion criterion, both at 3.33, followed by the Explanation of Issues/Problems criterion at 3.29, and finally the Analysis and Comparison criterion at 2.90.</w:t>
      </w:r>
    </w:p>
    <w:p w14:paraId="0DB218DB" w14:textId="755BCEC2" w:rsidR="00BC2641" w:rsidRDefault="00BC2641" w:rsidP="00BF3969">
      <w:pPr>
        <w:rPr>
          <w:noProof/>
          <w:highlight w:val="cyan"/>
        </w:rPr>
      </w:pPr>
      <w:r>
        <w:rPr>
          <w:noProof/>
        </w:rPr>
        <w:drawing>
          <wp:inline distT="0" distB="0" distL="0" distR="0" wp14:anchorId="5E17EBAD" wp14:editId="3CB681B2">
            <wp:extent cx="6858000" cy="5484494"/>
            <wp:effectExtent l="0" t="0" r="0" b="1905"/>
            <wp:docPr id="17054510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6858000" cy="5484494"/>
                    </a:xfrm>
                    <a:prstGeom prst="rect">
                      <a:avLst/>
                    </a:prstGeom>
                  </pic:spPr>
                </pic:pic>
              </a:graphicData>
            </a:graphic>
          </wp:inline>
        </w:drawing>
      </w:r>
    </w:p>
    <w:p w14:paraId="43237A3F" w14:textId="77777777" w:rsidR="00BC2641" w:rsidRDefault="00BC2641" w:rsidP="00BF3969">
      <w:pPr>
        <w:rPr>
          <w:noProof/>
          <w:highlight w:val="cyan"/>
        </w:rPr>
      </w:pPr>
    </w:p>
    <w:p w14:paraId="2C981ADC" w14:textId="77777777" w:rsidR="00BC2641" w:rsidRDefault="00BC2641" w:rsidP="00BF3969">
      <w:pPr>
        <w:rPr>
          <w:noProof/>
          <w:highlight w:val="cyan"/>
        </w:rPr>
      </w:pPr>
    </w:p>
    <w:p w14:paraId="7A14DCCC" w14:textId="535E52C8" w:rsidR="00BC2641" w:rsidRDefault="00BC2641" w:rsidP="00BF3969">
      <w:pPr>
        <w:rPr>
          <w:noProof/>
          <w:highlight w:val="cyan"/>
        </w:rPr>
      </w:pPr>
    </w:p>
    <w:p w14:paraId="649A930D" w14:textId="1908561B" w:rsidR="00BC2641" w:rsidRDefault="00BC2641" w:rsidP="00BF3969">
      <w:pPr>
        <w:rPr>
          <w:noProof/>
          <w:highlight w:val="cyan"/>
        </w:rPr>
      </w:pPr>
    </w:p>
    <w:p w14:paraId="6FDC115D" w14:textId="77777777" w:rsidR="00BC2641" w:rsidRDefault="00BC2641" w:rsidP="00BF3969">
      <w:pPr>
        <w:rPr>
          <w:noProof/>
          <w:highlight w:val="cyan"/>
        </w:rPr>
      </w:pPr>
    </w:p>
    <w:p w14:paraId="0D67710E" w14:textId="4CC7F6F4" w:rsidR="00BC2641" w:rsidRPr="00C77043" w:rsidRDefault="00BC2641" w:rsidP="00BC2641">
      <w:pPr>
        <w:pStyle w:val="Heading2"/>
      </w:pPr>
      <w:r>
        <w:lastRenderedPageBreak/>
        <w:t>CRT-STEM – Professional-Technical Programs</w:t>
      </w:r>
    </w:p>
    <w:p w14:paraId="5468CBC6" w14:textId="305DCBDC" w:rsidR="00BC2641" w:rsidRDefault="00BC2641" w:rsidP="00BC2641">
      <w:pPr>
        <w:rPr>
          <w:sz w:val="24"/>
          <w:szCs w:val="24"/>
        </w:rPr>
      </w:pPr>
      <w:r w:rsidRPr="52AF78E5">
        <w:rPr>
          <w:sz w:val="24"/>
          <w:szCs w:val="24"/>
        </w:rPr>
        <w:t xml:space="preserve">A total of 12 artifacts from professional-technical classes were STEM-type artifacts and all 12 were scored, or 100% of the total.  The average </w:t>
      </w:r>
      <w:r w:rsidR="00C07282" w:rsidRPr="52AF78E5">
        <w:rPr>
          <w:sz w:val="24"/>
          <w:szCs w:val="24"/>
        </w:rPr>
        <w:t>of</w:t>
      </w:r>
      <w:r w:rsidRPr="52AF78E5">
        <w:rPr>
          <w:sz w:val="24"/>
          <w:szCs w:val="24"/>
        </w:rPr>
        <w:t xml:space="preserve"> all criteria for these artifacts was 3.50. The highest average score was the Finding/Evaluating Data that Addresses the Question/Hypothesis criterion at 3.83, followed by the Identifying Main Idea/Hypothesis of Research or Problem criterion at 3.50, then the Evaluating and Drawing Relevant Conclusions from the Data criterion at 3.17. The Evaluating Credibility of Data criterion did not apply to the artifacts submitted.  </w:t>
      </w:r>
      <w:r w:rsidR="005D2092" w:rsidRPr="52AF78E5">
        <w:rPr>
          <w:sz w:val="24"/>
          <w:szCs w:val="24"/>
        </w:rPr>
        <w:t>Note: The 12 STEM-Professional-Technical program artifacts were also from 300 level course.</w:t>
      </w:r>
    </w:p>
    <w:p w14:paraId="358D36F7" w14:textId="57A2E752" w:rsidR="00BC2641" w:rsidRDefault="0099409C" w:rsidP="00BC2641">
      <w:pPr>
        <w:rPr>
          <w:sz w:val="24"/>
          <w:szCs w:val="24"/>
        </w:rPr>
      </w:pPr>
      <w:r>
        <w:rPr>
          <w:noProof/>
        </w:rPr>
        <w:drawing>
          <wp:inline distT="0" distB="0" distL="0" distR="0" wp14:anchorId="1F91111A" wp14:editId="15886981">
            <wp:extent cx="6696074" cy="4686300"/>
            <wp:effectExtent l="0" t="0" r="9525" b="0"/>
            <wp:docPr id="9813719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6696074" cy="4686300"/>
                    </a:xfrm>
                    <a:prstGeom prst="rect">
                      <a:avLst/>
                    </a:prstGeom>
                  </pic:spPr>
                </pic:pic>
              </a:graphicData>
            </a:graphic>
          </wp:inline>
        </w:drawing>
      </w:r>
    </w:p>
    <w:p w14:paraId="0ACAD068" w14:textId="20867C7B" w:rsidR="00145002" w:rsidRDefault="00BC2641" w:rsidP="00BF3969">
      <w:pPr>
        <w:rPr>
          <w:noProof/>
          <w:highlight w:val="cyan"/>
        </w:rPr>
      </w:pPr>
      <w:r w:rsidRPr="00EC2E6A">
        <w:rPr>
          <w:noProof/>
          <w:highlight w:val="cyan"/>
        </w:rPr>
        <w:t xml:space="preserve"> </w:t>
      </w:r>
    </w:p>
    <w:p w14:paraId="626235A6" w14:textId="37C27EC1" w:rsidR="00C07282" w:rsidRDefault="00C07282" w:rsidP="00BF3969">
      <w:pPr>
        <w:rPr>
          <w:noProof/>
          <w:highlight w:val="cyan"/>
        </w:rPr>
      </w:pPr>
    </w:p>
    <w:p w14:paraId="3B857DF1" w14:textId="74AD6AE5" w:rsidR="00C07282" w:rsidRDefault="00C07282" w:rsidP="00BF3969">
      <w:pPr>
        <w:rPr>
          <w:noProof/>
          <w:highlight w:val="cyan"/>
        </w:rPr>
      </w:pPr>
    </w:p>
    <w:p w14:paraId="3BEAD664" w14:textId="73412122" w:rsidR="00C07282" w:rsidRDefault="00C07282" w:rsidP="00BF3969">
      <w:pPr>
        <w:rPr>
          <w:noProof/>
          <w:highlight w:val="cyan"/>
        </w:rPr>
      </w:pPr>
    </w:p>
    <w:p w14:paraId="24A10632" w14:textId="5A334C62" w:rsidR="00C07282" w:rsidRDefault="00C07282" w:rsidP="00BF3969">
      <w:pPr>
        <w:rPr>
          <w:noProof/>
          <w:highlight w:val="cyan"/>
        </w:rPr>
      </w:pPr>
    </w:p>
    <w:p w14:paraId="7D062942" w14:textId="214BA8F1" w:rsidR="00C07282" w:rsidRDefault="00C07282" w:rsidP="00BF3969">
      <w:pPr>
        <w:rPr>
          <w:noProof/>
          <w:highlight w:val="cyan"/>
        </w:rPr>
      </w:pPr>
    </w:p>
    <w:p w14:paraId="6E9CEFBA" w14:textId="72098556" w:rsidR="00C07282" w:rsidRDefault="00C07282" w:rsidP="00BF3969">
      <w:pPr>
        <w:rPr>
          <w:noProof/>
          <w:highlight w:val="cyan"/>
        </w:rPr>
      </w:pPr>
    </w:p>
    <w:p w14:paraId="724D3019" w14:textId="77777777" w:rsidR="00C07282" w:rsidRDefault="00C07282" w:rsidP="00BF3969">
      <w:pPr>
        <w:rPr>
          <w:noProof/>
          <w:highlight w:val="cyan"/>
        </w:rPr>
      </w:pPr>
    </w:p>
    <w:p w14:paraId="7056E88A" w14:textId="46DE0E3D" w:rsidR="00777E2A" w:rsidRDefault="00777E2A" w:rsidP="00777E2A">
      <w:pPr>
        <w:pStyle w:val="Heading2"/>
      </w:pPr>
      <w:r>
        <w:lastRenderedPageBreak/>
        <w:t xml:space="preserve">CRT-Essays – All </w:t>
      </w:r>
      <w:r w:rsidR="00C737EA">
        <w:t>except</w:t>
      </w:r>
      <w:r>
        <w:t xml:space="preserve"> Professional-Technical Programs</w:t>
      </w:r>
    </w:p>
    <w:p w14:paraId="6E24E35D" w14:textId="1B97398B" w:rsidR="00777E2A" w:rsidRDefault="00777E2A" w:rsidP="00BF3969">
      <w:pPr>
        <w:rPr>
          <w:sz w:val="24"/>
          <w:szCs w:val="24"/>
        </w:rPr>
      </w:pPr>
      <w:r w:rsidRPr="00C77043">
        <w:rPr>
          <w:sz w:val="24"/>
          <w:szCs w:val="24"/>
        </w:rPr>
        <w:t xml:space="preserve">A total of </w:t>
      </w:r>
      <w:r w:rsidR="00C737EA">
        <w:rPr>
          <w:sz w:val="24"/>
          <w:szCs w:val="24"/>
        </w:rPr>
        <w:t>269</w:t>
      </w:r>
      <w:r>
        <w:rPr>
          <w:sz w:val="24"/>
          <w:szCs w:val="24"/>
        </w:rPr>
        <w:t xml:space="preserve"> artifacts from </w:t>
      </w:r>
      <w:r w:rsidR="00C737EA">
        <w:rPr>
          <w:sz w:val="24"/>
          <w:szCs w:val="24"/>
        </w:rPr>
        <w:t>non Professional-T</w:t>
      </w:r>
      <w:r>
        <w:rPr>
          <w:sz w:val="24"/>
          <w:szCs w:val="24"/>
        </w:rPr>
        <w:t>echnical</w:t>
      </w:r>
      <w:r w:rsidRPr="00C77043">
        <w:rPr>
          <w:sz w:val="24"/>
          <w:szCs w:val="24"/>
        </w:rPr>
        <w:t xml:space="preserve"> classes were</w:t>
      </w:r>
      <w:r>
        <w:rPr>
          <w:sz w:val="24"/>
          <w:szCs w:val="24"/>
        </w:rPr>
        <w:t xml:space="preserve"> essay-type artifacts</w:t>
      </w:r>
      <w:r w:rsidR="00C737EA">
        <w:rPr>
          <w:sz w:val="24"/>
          <w:szCs w:val="24"/>
        </w:rPr>
        <w:t>, and 186 of these artifacts were scored, or 69% of t</w:t>
      </w:r>
      <w:r w:rsidRPr="00C77043">
        <w:rPr>
          <w:sz w:val="24"/>
          <w:szCs w:val="24"/>
        </w:rPr>
        <w:t xml:space="preserve">he total. </w:t>
      </w:r>
      <w:r w:rsidR="00C737EA">
        <w:rPr>
          <w:sz w:val="24"/>
          <w:szCs w:val="24"/>
        </w:rPr>
        <w:t>When Professional-Technical artifacts are removed, t</w:t>
      </w:r>
      <w:r w:rsidRPr="00C77043">
        <w:rPr>
          <w:sz w:val="24"/>
          <w:szCs w:val="24"/>
        </w:rPr>
        <w:t xml:space="preserve">he average for </w:t>
      </w:r>
      <w:r w:rsidR="00C737EA">
        <w:rPr>
          <w:sz w:val="24"/>
          <w:szCs w:val="24"/>
        </w:rPr>
        <w:t xml:space="preserve">the remaining essay-type artifacts is lower than it is when the artifacts are combined. The average </w:t>
      </w:r>
      <w:r w:rsidR="00C07282">
        <w:rPr>
          <w:sz w:val="24"/>
          <w:szCs w:val="24"/>
        </w:rPr>
        <w:t>for</w:t>
      </w:r>
      <w:r w:rsidR="00C737EA">
        <w:rPr>
          <w:sz w:val="24"/>
          <w:szCs w:val="24"/>
        </w:rPr>
        <w:t xml:space="preserve"> </w:t>
      </w:r>
      <w:r w:rsidRPr="00C77043">
        <w:rPr>
          <w:sz w:val="24"/>
          <w:szCs w:val="24"/>
        </w:rPr>
        <w:t xml:space="preserve">all criteria for these artifacts </w:t>
      </w:r>
      <w:r w:rsidR="00C737EA">
        <w:rPr>
          <w:sz w:val="24"/>
          <w:szCs w:val="24"/>
        </w:rPr>
        <w:t>was 3.00</w:t>
      </w:r>
      <w:r w:rsidRPr="00C77043">
        <w:rPr>
          <w:sz w:val="24"/>
          <w:szCs w:val="24"/>
        </w:rPr>
        <w:t xml:space="preserve">. The highest average score was the </w:t>
      </w:r>
      <w:r w:rsidR="00C737EA">
        <w:rPr>
          <w:sz w:val="24"/>
          <w:szCs w:val="24"/>
        </w:rPr>
        <w:t xml:space="preserve">Explanation of Issues/Problems criterion at 3.22, followed by the </w:t>
      </w:r>
      <w:r>
        <w:rPr>
          <w:sz w:val="24"/>
          <w:szCs w:val="24"/>
        </w:rPr>
        <w:t xml:space="preserve">Student’s Position (perspective, thesis/hypothesis) criterion </w:t>
      </w:r>
      <w:r w:rsidRPr="00C77043">
        <w:rPr>
          <w:sz w:val="24"/>
          <w:szCs w:val="24"/>
        </w:rPr>
        <w:t>at 3</w:t>
      </w:r>
      <w:r w:rsidR="00C737EA">
        <w:rPr>
          <w:sz w:val="24"/>
          <w:szCs w:val="24"/>
        </w:rPr>
        <w:t>.09. Then the Evaluation and Conclusion</w:t>
      </w:r>
      <w:r w:rsidRPr="00C77043">
        <w:rPr>
          <w:sz w:val="24"/>
          <w:szCs w:val="24"/>
        </w:rPr>
        <w:t xml:space="preserve"> criterion at </w:t>
      </w:r>
      <w:r w:rsidR="00C737EA">
        <w:rPr>
          <w:sz w:val="24"/>
          <w:szCs w:val="24"/>
        </w:rPr>
        <w:t>2</w:t>
      </w:r>
      <w:r w:rsidRPr="00C77043">
        <w:rPr>
          <w:sz w:val="24"/>
          <w:szCs w:val="24"/>
        </w:rPr>
        <w:t>.</w:t>
      </w:r>
      <w:r w:rsidR="00C737EA">
        <w:rPr>
          <w:sz w:val="24"/>
          <w:szCs w:val="24"/>
        </w:rPr>
        <w:t>9</w:t>
      </w:r>
      <w:r>
        <w:rPr>
          <w:sz w:val="24"/>
          <w:szCs w:val="24"/>
        </w:rPr>
        <w:t>9</w:t>
      </w:r>
      <w:r w:rsidRPr="00C77043">
        <w:rPr>
          <w:sz w:val="24"/>
          <w:szCs w:val="24"/>
        </w:rPr>
        <w:t>, and finally the Analysis and Comparison</w:t>
      </w:r>
      <w:r>
        <w:rPr>
          <w:sz w:val="24"/>
          <w:szCs w:val="24"/>
        </w:rPr>
        <w:t xml:space="preserve"> criterion at 2.</w:t>
      </w:r>
      <w:r w:rsidR="00C737EA">
        <w:rPr>
          <w:sz w:val="24"/>
          <w:szCs w:val="24"/>
        </w:rPr>
        <w:t>6</w:t>
      </w:r>
      <w:r>
        <w:rPr>
          <w:sz w:val="24"/>
          <w:szCs w:val="24"/>
        </w:rPr>
        <w:t>9</w:t>
      </w:r>
      <w:r w:rsidRPr="00C77043">
        <w:rPr>
          <w:sz w:val="24"/>
          <w:szCs w:val="24"/>
        </w:rPr>
        <w:t xml:space="preserve">. </w:t>
      </w:r>
      <w:r>
        <w:rPr>
          <w:sz w:val="24"/>
          <w:szCs w:val="24"/>
        </w:rPr>
        <w:t xml:space="preserve"> </w:t>
      </w:r>
    </w:p>
    <w:p w14:paraId="138758B3" w14:textId="40BDE265" w:rsidR="00C07282" w:rsidRDefault="00C07282" w:rsidP="00BF3969">
      <w:pPr>
        <w:rPr>
          <w:sz w:val="24"/>
          <w:szCs w:val="24"/>
        </w:rPr>
      </w:pPr>
      <w:r>
        <w:rPr>
          <w:noProof/>
        </w:rPr>
        <w:drawing>
          <wp:inline distT="0" distB="0" distL="0" distR="0" wp14:anchorId="398D99C8" wp14:editId="76BA8320">
            <wp:extent cx="6858000" cy="5337174"/>
            <wp:effectExtent l="0" t="0" r="0" b="0"/>
            <wp:docPr id="5263429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6858000" cy="5337174"/>
                    </a:xfrm>
                    <a:prstGeom prst="rect">
                      <a:avLst/>
                    </a:prstGeom>
                  </pic:spPr>
                </pic:pic>
              </a:graphicData>
            </a:graphic>
          </wp:inline>
        </w:drawing>
      </w:r>
    </w:p>
    <w:p w14:paraId="4FA300CD" w14:textId="1C350EBD" w:rsidR="00C07282" w:rsidRDefault="00C07282" w:rsidP="00BF3969">
      <w:pPr>
        <w:rPr>
          <w:sz w:val="24"/>
          <w:szCs w:val="24"/>
        </w:rPr>
      </w:pPr>
    </w:p>
    <w:p w14:paraId="3A831ADD" w14:textId="056923DF" w:rsidR="00C07282" w:rsidRDefault="00C07282" w:rsidP="00BF3969">
      <w:pPr>
        <w:rPr>
          <w:sz w:val="24"/>
          <w:szCs w:val="24"/>
        </w:rPr>
      </w:pPr>
    </w:p>
    <w:p w14:paraId="2D91DEEE" w14:textId="207153F1" w:rsidR="00C07282" w:rsidRDefault="00C07282" w:rsidP="00BF3969">
      <w:pPr>
        <w:rPr>
          <w:sz w:val="24"/>
          <w:szCs w:val="24"/>
        </w:rPr>
      </w:pPr>
    </w:p>
    <w:p w14:paraId="36AE04EA" w14:textId="3F06AB65" w:rsidR="00C07282" w:rsidRDefault="00C07282" w:rsidP="00BF3969">
      <w:pPr>
        <w:rPr>
          <w:sz w:val="24"/>
          <w:szCs w:val="24"/>
        </w:rPr>
      </w:pPr>
    </w:p>
    <w:p w14:paraId="7DEA0B7E" w14:textId="77777777" w:rsidR="00C07282" w:rsidRDefault="00C07282" w:rsidP="00BF3969">
      <w:pPr>
        <w:rPr>
          <w:sz w:val="24"/>
          <w:szCs w:val="24"/>
        </w:rPr>
      </w:pPr>
    </w:p>
    <w:p w14:paraId="49ADD426" w14:textId="2B9D9063" w:rsidR="00D240AC" w:rsidRDefault="00D240AC" w:rsidP="00D240AC">
      <w:pPr>
        <w:pStyle w:val="Heading2"/>
      </w:pPr>
      <w:r>
        <w:lastRenderedPageBreak/>
        <w:t>CRT-STEM – All except Professional-Technical Programs</w:t>
      </w:r>
    </w:p>
    <w:p w14:paraId="5197E05A" w14:textId="57FA1BCF" w:rsidR="005315D9" w:rsidRDefault="00D240AC" w:rsidP="00D240AC">
      <w:pPr>
        <w:rPr>
          <w:sz w:val="24"/>
          <w:szCs w:val="24"/>
        </w:rPr>
      </w:pPr>
      <w:r w:rsidRPr="52AF78E5">
        <w:rPr>
          <w:sz w:val="24"/>
          <w:szCs w:val="24"/>
        </w:rPr>
        <w:t xml:space="preserve">A total of 40 artifacts from non Professional-Technical classes were STEM-type artifacts, and all 40 of these artifacts were scored, or 100% of the total. When Professional-Technical artifacts are removed, the average for the remaining STEM-type artifacts is lower than it is when the artifacts are combined. The average </w:t>
      </w:r>
      <w:r w:rsidR="005315D9" w:rsidRPr="52AF78E5">
        <w:rPr>
          <w:sz w:val="24"/>
          <w:szCs w:val="24"/>
        </w:rPr>
        <w:t>of</w:t>
      </w:r>
      <w:r w:rsidRPr="52AF78E5">
        <w:rPr>
          <w:sz w:val="24"/>
          <w:szCs w:val="24"/>
        </w:rPr>
        <w:t xml:space="preserve"> all criteria for these artifacts was 3.32. The highest average score was the Finding/Evaluating Data that Addresses the Question/Hypothesis criterion at 3.45, followed by the Identifying Main Idea/Hypothesis of Research or Problem criterion at 3.38. Then the Evaluating Credibility of Data criterion at 3.33, and finally the Evaluating and Drawing Relevant Conclusions from the Data criterion at 3.13</w:t>
      </w:r>
      <w:r w:rsidR="005315D9" w:rsidRPr="52AF78E5">
        <w:rPr>
          <w:sz w:val="24"/>
          <w:szCs w:val="24"/>
        </w:rPr>
        <w:t>.</w:t>
      </w:r>
    </w:p>
    <w:p w14:paraId="2355DE76" w14:textId="35992BA9" w:rsidR="00145002" w:rsidRDefault="005315D9" w:rsidP="52AF78E5">
      <w:pPr>
        <w:rPr>
          <w:noProof/>
          <w:sz w:val="24"/>
          <w:szCs w:val="24"/>
        </w:rPr>
      </w:pPr>
      <w:r>
        <w:rPr>
          <w:noProof/>
        </w:rPr>
        <w:drawing>
          <wp:inline distT="0" distB="0" distL="0" distR="0" wp14:anchorId="2EFB5C6B" wp14:editId="56D594A2">
            <wp:extent cx="6810374" cy="5619752"/>
            <wp:effectExtent l="0" t="0" r="9525" b="0"/>
            <wp:docPr id="3640893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2">
                      <a:extLst>
                        <a:ext uri="{28A0092B-C50C-407E-A947-70E740481C1C}">
                          <a14:useLocalDpi xmlns:a14="http://schemas.microsoft.com/office/drawing/2010/main" val="0"/>
                        </a:ext>
                      </a:extLst>
                    </a:blip>
                    <a:stretch>
                      <a:fillRect/>
                    </a:stretch>
                  </pic:blipFill>
                  <pic:spPr>
                    <a:xfrm>
                      <a:off x="0" y="0"/>
                      <a:ext cx="6810374" cy="5619752"/>
                    </a:xfrm>
                    <a:prstGeom prst="rect">
                      <a:avLst/>
                    </a:prstGeom>
                  </pic:spPr>
                </pic:pic>
              </a:graphicData>
            </a:graphic>
          </wp:inline>
        </w:drawing>
      </w:r>
      <w:r w:rsidR="00D240AC" w:rsidRPr="5053A02A">
        <w:rPr>
          <w:sz w:val="24"/>
          <w:szCs w:val="24"/>
        </w:rPr>
        <w:t xml:space="preserve">  </w:t>
      </w:r>
    </w:p>
    <w:p w14:paraId="19FF0AC2" w14:textId="64EE7C42" w:rsidR="005315D9" w:rsidRDefault="00110113" w:rsidP="52AF78E5">
      <w:pPr>
        <w:rPr>
          <w:rFonts w:ascii="Calibri" w:eastAsia="Calibri" w:hAnsi="Calibri" w:cs="Calibri"/>
        </w:rPr>
      </w:pPr>
      <w:r w:rsidRPr="52AF78E5">
        <w:rPr>
          <w:rFonts w:ascii="Calibri" w:eastAsia="Calibri" w:hAnsi="Calibri" w:cs="Calibri"/>
        </w:rPr>
        <w:t xml:space="preserve">NOTE: There were </w:t>
      </w:r>
      <w:r w:rsidR="5169F91C" w:rsidRPr="52AF78E5">
        <w:rPr>
          <w:rFonts w:ascii="Calibri" w:eastAsia="Calibri" w:hAnsi="Calibri" w:cs="Calibri"/>
        </w:rPr>
        <w:t>no</w:t>
      </w:r>
      <w:r w:rsidR="52AF78E5" w:rsidRPr="52AF78E5">
        <w:rPr>
          <w:rFonts w:ascii="Calibri" w:eastAsia="Calibri" w:hAnsi="Calibri" w:cs="Calibri"/>
        </w:rPr>
        <w:t xml:space="preserve"> </w:t>
      </w:r>
      <w:r w:rsidRPr="52AF78E5">
        <w:rPr>
          <w:rFonts w:ascii="Calibri" w:eastAsia="Calibri" w:hAnsi="Calibri" w:cs="Calibri"/>
        </w:rPr>
        <w:t>submissions from Transitional Studies to warrant looking at this group separately.</w:t>
      </w:r>
    </w:p>
    <w:p w14:paraId="0156F8FD" w14:textId="1DB69B0A" w:rsidR="52AF78E5" w:rsidRDefault="52AF78E5" w:rsidP="004E5FAE"/>
    <w:p w14:paraId="01669FB6" w14:textId="77777777" w:rsidR="004E5FAE" w:rsidRDefault="004E5FAE" w:rsidP="004E5FAE"/>
    <w:p w14:paraId="2BFBC3A2" w14:textId="58FCCF9F" w:rsidR="00C26736" w:rsidRDefault="00DA403C" w:rsidP="00145D69">
      <w:pPr>
        <w:pStyle w:val="Heading1"/>
      </w:pPr>
      <w:r>
        <w:lastRenderedPageBreak/>
        <w:t>Limitations</w:t>
      </w:r>
    </w:p>
    <w:p w14:paraId="65EB741A" w14:textId="1D061811" w:rsidR="00A269C7" w:rsidRDefault="006625E7" w:rsidP="43248D27">
      <w:pPr>
        <w:rPr>
          <w:sz w:val="24"/>
          <w:szCs w:val="24"/>
        </w:rPr>
      </w:pPr>
      <w:r w:rsidRPr="00357361">
        <w:rPr>
          <w:sz w:val="24"/>
          <w:szCs w:val="24"/>
        </w:rPr>
        <w:t xml:space="preserve">No statisticians </w:t>
      </w:r>
      <w:r w:rsidR="007F2995" w:rsidRPr="00357361">
        <w:rPr>
          <w:sz w:val="24"/>
          <w:szCs w:val="24"/>
        </w:rPr>
        <w:t>serve</w:t>
      </w:r>
      <w:r w:rsidR="00370C82">
        <w:rPr>
          <w:sz w:val="24"/>
          <w:szCs w:val="24"/>
        </w:rPr>
        <w:t>d</w:t>
      </w:r>
      <w:r w:rsidR="007F2995" w:rsidRPr="00357361">
        <w:rPr>
          <w:sz w:val="24"/>
          <w:szCs w:val="24"/>
        </w:rPr>
        <w:t xml:space="preserve"> </w:t>
      </w:r>
      <w:r w:rsidRPr="00357361">
        <w:rPr>
          <w:sz w:val="24"/>
          <w:szCs w:val="24"/>
        </w:rPr>
        <w:t>on the committee</w:t>
      </w:r>
      <w:r w:rsidR="006503C2">
        <w:rPr>
          <w:sz w:val="24"/>
          <w:szCs w:val="24"/>
        </w:rPr>
        <w:t xml:space="preserve">, thus no inferential statistical techniques were used for analysis. </w:t>
      </w:r>
      <w:r w:rsidR="007F2995" w:rsidRPr="00357361">
        <w:rPr>
          <w:sz w:val="24"/>
          <w:szCs w:val="24"/>
        </w:rPr>
        <w:t>CLAC welcomes</w:t>
      </w:r>
      <w:r w:rsidRPr="00357361">
        <w:rPr>
          <w:sz w:val="24"/>
          <w:szCs w:val="24"/>
        </w:rPr>
        <w:t xml:space="preserve"> any assistance </w:t>
      </w:r>
      <w:r w:rsidR="007F2995" w:rsidRPr="00357361">
        <w:rPr>
          <w:sz w:val="24"/>
          <w:szCs w:val="24"/>
        </w:rPr>
        <w:t xml:space="preserve">with data analysis </w:t>
      </w:r>
      <w:r w:rsidRPr="00357361">
        <w:rPr>
          <w:sz w:val="24"/>
          <w:szCs w:val="24"/>
        </w:rPr>
        <w:t>in the future.</w:t>
      </w:r>
    </w:p>
    <w:p w14:paraId="0DD5F495" w14:textId="506408E2" w:rsidR="00CA6F4C" w:rsidRDefault="00CA6F4C" w:rsidP="43248D27">
      <w:pPr>
        <w:rPr>
          <w:sz w:val="24"/>
          <w:szCs w:val="24"/>
        </w:rPr>
      </w:pPr>
      <w:r>
        <w:rPr>
          <w:sz w:val="24"/>
          <w:szCs w:val="24"/>
        </w:rPr>
        <w:t xml:space="preserve">The Canvas LMS works well </w:t>
      </w:r>
      <w:r w:rsidR="00967273">
        <w:rPr>
          <w:sz w:val="24"/>
          <w:szCs w:val="24"/>
        </w:rPr>
        <w:t>as a</w:t>
      </w:r>
      <w:r>
        <w:rPr>
          <w:sz w:val="24"/>
          <w:szCs w:val="24"/>
        </w:rPr>
        <w:t xml:space="preserve"> repository and</w:t>
      </w:r>
      <w:r w:rsidR="00967273">
        <w:rPr>
          <w:sz w:val="24"/>
          <w:szCs w:val="24"/>
        </w:rPr>
        <w:t xml:space="preserve"> to facilitate</w:t>
      </w:r>
      <w:r>
        <w:rPr>
          <w:sz w:val="24"/>
          <w:szCs w:val="24"/>
        </w:rPr>
        <w:t xml:space="preserve"> scoring of artifacts</w:t>
      </w:r>
      <w:r w:rsidR="00967273">
        <w:rPr>
          <w:sz w:val="24"/>
          <w:szCs w:val="24"/>
        </w:rPr>
        <w:t xml:space="preserve"> using a rubric</w:t>
      </w:r>
      <w:r>
        <w:rPr>
          <w:sz w:val="24"/>
          <w:szCs w:val="24"/>
        </w:rPr>
        <w:t>, but it does not provide tools for the analysis of individual rubric criterion. Thus, significant time and effort went into the manual data entry of individual criterion</w:t>
      </w:r>
      <w:r w:rsidR="00967273">
        <w:rPr>
          <w:sz w:val="24"/>
          <w:szCs w:val="24"/>
        </w:rPr>
        <w:t xml:space="preserve"> scores</w:t>
      </w:r>
      <w:r>
        <w:rPr>
          <w:sz w:val="24"/>
          <w:szCs w:val="24"/>
        </w:rPr>
        <w:t xml:space="preserve"> </w:t>
      </w:r>
      <w:r w:rsidR="002E736D">
        <w:rPr>
          <w:sz w:val="24"/>
          <w:szCs w:val="24"/>
        </w:rPr>
        <w:t xml:space="preserve">into MS Excel. </w:t>
      </w:r>
    </w:p>
    <w:p w14:paraId="2A3BB8CE" w14:textId="22ED4899" w:rsidR="00A63FCE" w:rsidRDefault="00A63FCE" w:rsidP="43248D27">
      <w:pPr>
        <w:rPr>
          <w:sz w:val="24"/>
          <w:szCs w:val="24"/>
        </w:rPr>
      </w:pPr>
      <w:r w:rsidRPr="52AF78E5">
        <w:rPr>
          <w:sz w:val="24"/>
          <w:szCs w:val="24"/>
        </w:rPr>
        <w:t xml:space="preserve">There were </w:t>
      </w:r>
      <w:r w:rsidR="00370C82" w:rsidRPr="52AF78E5">
        <w:rPr>
          <w:sz w:val="24"/>
          <w:szCs w:val="24"/>
        </w:rPr>
        <w:t xml:space="preserve">only 52 </w:t>
      </w:r>
      <w:r w:rsidRPr="52AF78E5">
        <w:rPr>
          <w:sz w:val="24"/>
          <w:szCs w:val="24"/>
        </w:rPr>
        <w:t>STEM-type artifacts</w:t>
      </w:r>
      <w:r w:rsidR="00370C82" w:rsidRPr="52AF78E5">
        <w:rPr>
          <w:sz w:val="24"/>
          <w:szCs w:val="24"/>
        </w:rPr>
        <w:t xml:space="preserve"> to score, which </w:t>
      </w:r>
      <w:r w:rsidR="6D24743B" w:rsidRPr="52AF78E5">
        <w:rPr>
          <w:sz w:val="24"/>
          <w:szCs w:val="24"/>
        </w:rPr>
        <w:t>might</w:t>
      </w:r>
      <w:r w:rsidR="00370C82" w:rsidRPr="52AF78E5">
        <w:rPr>
          <w:sz w:val="24"/>
          <w:szCs w:val="24"/>
        </w:rPr>
        <w:t xml:space="preserve"> not a large enough sample size</w:t>
      </w:r>
      <w:r w:rsidRPr="52AF78E5">
        <w:rPr>
          <w:sz w:val="24"/>
          <w:szCs w:val="24"/>
        </w:rPr>
        <w:t xml:space="preserve"> to generalize</w:t>
      </w:r>
      <w:r w:rsidR="00C92729" w:rsidRPr="52AF78E5">
        <w:rPr>
          <w:sz w:val="24"/>
          <w:szCs w:val="24"/>
        </w:rPr>
        <w:t xml:space="preserve"> the results</w:t>
      </w:r>
      <w:r w:rsidR="00370C82" w:rsidRPr="52AF78E5">
        <w:rPr>
          <w:sz w:val="24"/>
          <w:szCs w:val="24"/>
        </w:rPr>
        <w:t xml:space="preserve">. The </w:t>
      </w:r>
      <w:r w:rsidR="00C92729" w:rsidRPr="52AF78E5">
        <w:rPr>
          <w:sz w:val="24"/>
          <w:szCs w:val="24"/>
        </w:rPr>
        <w:t xml:space="preserve">52 </w:t>
      </w:r>
      <w:r w:rsidR="00370C82" w:rsidRPr="52AF78E5">
        <w:rPr>
          <w:sz w:val="24"/>
          <w:szCs w:val="24"/>
        </w:rPr>
        <w:t>submitted artifacts represented</w:t>
      </w:r>
      <w:r w:rsidR="00C92729" w:rsidRPr="52AF78E5">
        <w:rPr>
          <w:sz w:val="24"/>
          <w:szCs w:val="24"/>
        </w:rPr>
        <w:t xml:space="preserve"> only</w:t>
      </w:r>
      <w:r w:rsidR="00370C82" w:rsidRPr="52AF78E5">
        <w:rPr>
          <w:sz w:val="24"/>
          <w:szCs w:val="24"/>
        </w:rPr>
        <w:t xml:space="preserve"> two divisions on campus (Math, Science and Engineering; and HBPS).</w:t>
      </w:r>
      <w:r w:rsidR="00C92729" w:rsidRPr="52AF78E5">
        <w:rPr>
          <w:sz w:val="24"/>
          <w:szCs w:val="24"/>
        </w:rPr>
        <w:t xml:space="preserve"> Not</w:t>
      </w:r>
      <w:r w:rsidRPr="52AF78E5">
        <w:rPr>
          <w:sz w:val="24"/>
          <w:szCs w:val="24"/>
        </w:rPr>
        <w:t xml:space="preserve"> all of the STEM criterion applied to </w:t>
      </w:r>
      <w:r w:rsidR="00370C82" w:rsidRPr="52AF78E5">
        <w:rPr>
          <w:sz w:val="24"/>
          <w:szCs w:val="24"/>
        </w:rPr>
        <w:t xml:space="preserve">all of the STEM-type </w:t>
      </w:r>
      <w:r w:rsidRPr="52AF78E5">
        <w:rPr>
          <w:sz w:val="24"/>
          <w:szCs w:val="24"/>
        </w:rPr>
        <w:t xml:space="preserve">artifacts. </w:t>
      </w:r>
    </w:p>
    <w:p w14:paraId="36757D97" w14:textId="304CD940" w:rsidR="00A269C7" w:rsidRDefault="00A269C7" w:rsidP="43248D27">
      <w:pPr>
        <w:rPr>
          <w:sz w:val="24"/>
          <w:szCs w:val="24"/>
        </w:rPr>
      </w:pPr>
      <w:r>
        <w:rPr>
          <w:sz w:val="24"/>
          <w:szCs w:val="24"/>
        </w:rPr>
        <w:t>Evaluating the Analysis and Comparison criteri</w:t>
      </w:r>
      <w:r w:rsidR="000E2306">
        <w:rPr>
          <w:sz w:val="24"/>
          <w:szCs w:val="24"/>
        </w:rPr>
        <w:t>on</w:t>
      </w:r>
      <w:r>
        <w:rPr>
          <w:sz w:val="24"/>
          <w:szCs w:val="24"/>
        </w:rPr>
        <w:t xml:space="preserve"> for</w:t>
      </w:r>
      <w:r w:rsidR="000E2306">
        <w:rPr>
          <w:sz w:val="24"/>
          <w:szCs w:val="24"/>
        </w:rPr>
        <w:t xml:space="preserve"> </w:t>
      </w:r>
      <w:r>
        <w:rPr>
          <w:sz w:val="24"/>
          <w:szCs w:val="24"/>
        </w:rPr>
        <w:t xml:space="preserve">the essay-type </w:t>
      </w:r>
      <w:r w:rsidR="000E2306">
        <w:rPr>
          <w:sz w:val="24"/>
          <w:szCs w:val="24"/>
        </w:rPr>
        <w:t>artifacts was problematic in some cases as many assignments did not ask students to address diverse perspectives or analyze their own positions or assumptions.</w:t>
      </w:r>
    </w:p>
    <w:p w14:paraId="5CB17741" w14:textId="1A718F86" w:rsidR="7427F719" w:rsidRDefault="7427F719" w:rsidP="7427F719">
      <w:pPr>
        <w:pStyle w:val="Heading1"/>
      </w:pPr>
      <w:r>
        <w:t>Discussion</w:t>
      </w:r>
    </w:p>
    <w:p w14:paraId="26E91615" w14:textId="400ABA99" w:rsidR="7427F719" w:rsidRDefault="4E0AB8E8" w:rsidP="4E0AB8E8">
      <w:pPr>
        <w:rPr>
          <w:sz w:val="24"/>
          <w:szCs w:val="24"/>
        </w:rPr>
      </w:pPr>
      <w:r w:rsidRPr="00357361">
        <w:rPr>
          <w:sz w:val="24"/>
          <w:szCs w:val="24"/>
        </w:rPr>
        <w:t xml:space="preserve">Data was sorted in a variety of ways to provide a snapshot of student achievement and identify possible areas of opportunity.  </w:t>
      </w:r>
    </w:p>
    <w:p w14:paraId="19210896" w14:textId="1440C5B4" w:rsidR="00047D62" w:rsidRPr="00357361" w:rsidRDefault="00047D62" w:rsidP="00047D62">
      <w:pPr>
        <w:pStyle w:val="Heading2"/>
      </w:pPr>
      <w:r w:rsidRPr="00047D62">
        <w:t>CRT-Essays</w:t>
      </w:r>
    </w:p>
    <w:p w14:paraId="593B9BD5" w14:textId="7E3A0E4D" w:rsidR="00481193" w:rsidRDefault="00481193" w:rsidP="00481193">
      <w:pPr>
        <w:rPr>
          <w:rFonts w:ascii="Calibri" w:eastAsia="Calibri" w:hAnsi="Calibri" w:cs="Calibri"/>
          <w:sz w:val="24"/>
          <w:szCs w:val="24"/>
        </w:rPr>
      </w:pPr>
      <w:r w:rsidRPr="5053A02A">
        <w:rPr>
          <w:rFonts w:ascii="Calibri" w:eastAsia="Calibri" w:hAnsi="Calibri" w:cs="Calibri"/>
          <w:sz w:val="24"/>
          <w:szCs w:val="24"/>
        </w:rPr>
        <w:t>Since the rubric used in 2013 included slightly different criteria and was adapted from an AAC&amp;U rubric, which is geared toward students at four-year institutions, no accurate comparisons can be made with previous assessment work. However, it can be noted that some challenges identified in the 2013 report have been addressed such as</w:t>
      </w:r>
      <w:r w:rsidR="2324FE09" w:rsidRPr="5053A02A">
        <w:rPr>
          <w:rFonts w:ascii="Calibri" w:eastAsia="Calibri" w:hAnsi="Calibri" w:cs="Calibri"/>
          <w:sz w:val="24"/>
          <w:szCs w:val="24"/>
        </w:rPr>
        <w:t>:</w:t>
      </w:r>
      <w:r w:rsidRPr="5053A02A">
        <w:rPr>
          <w:rFonts w:ascii="Calibri" w:eastAsia="Calibri" w:hAnsi="Calibri" w:cs="Calibri"/>
          <w:sz w:val="24"/>
          <w:szCs w:val="24"/>
        </w:rPr>
        <w:t xml:space="preserve"> de-identification of artifacts, inclusion of assignment instructions, and the scoring of artifacts using the rubric.</w:t>
      </w:r>
    </w:p>
    <w:p w14:paraId="09ABB03F" w14:textId="755F759F" w:rsidR="00CA6F4C" w:rsidRPr="00047D62" w:rsidRDefault="7427F719" w:rsidP="00CA6F4C">
      <w:pPr>
        <w:rPr>
          <w:sz w:val="24"/>
          <w:szCs w:val="24"/>
        </w:rPr>
      </w:pPr>
      <w:r w:rsidRPr="7427F719">
        <w:rPr>
          <w:sz w:val="24"/>
          <w:szCs w:val="24"/>
        </w:rPr>
        <w:t xml:space="preserve">While the scores vary depending on how the data is sorted, </w:t>
      </w:r>
      <w:r w:rsidR="00047D62">
        <w:rPr>
          <w:sz w:val="24"/>
          <w:szCs w:val="24"/>
        </w:rPr>
        <w:t>the Explanation of Issues/Problems criterion gener</w:t>
      </w:r>
      <w:r w:rsidR="00E425F5">
        <w:rPr>
          <w:sz w:val="24"/>
          <w:szCs w:val="24"/>
        </w:rPr>
        <w:t>ally received the highest score</w:t>
      </w:r>
      <w:r w:rsidR="009B43E8">
        <w:rPr>
          <w:sz w:val="24"/>
          <w:szCs w:val="24"/>
        </w:rPr>
        <w:t>s,</w:t>
      </w:r>
      <w:r w:rsidR="00047D62">
        <w:rPr>
          <w:sz w:val="24"/>
          <w:szCs w:val="24"/>
        </w:rPr>
        <w:t xml:space="preserve"> while the Analysis and Comparison criterion most often</w:t>
      </w:r>
      <w:r w:rsidR="009B43E8">
        <w:rPr>
          <w:sz w:val="24"/>
          <w:szCs w:val="24"/>
        </w:rPr>
        <w:t xml:space="preserve"> received</w:t>
      </w:r>
      <w:r w:rsidR="00047D62">
        <w:rPr>
          <w:sz w:val="24"/>
          <w:szCs w:val="24"/>
        </w:rPr>
        <w:t xml:space="preserve"> the lowest</w:t>
      </w:r>
      <w:r w:rsidR="009B43E8">
        <w:rPr>
          <w:sz w:val="24"/>
          <w:szCs w:val="24"/>
        </w:rPr>
        <w:t xml:space="preserve"> scores. </w:t>
      </w:r>
      <w:r w:rsidR="00047D62">
        <w:rPr>
          <w:sz w:val="24"/>
          <w:szCs w:val="24"/>
        </w:rPr>
        <w:t>The Analysis and Comparison criterion scores were consistently between two and three, placing students between the developing and competent levels. All other criterion scores were between three and four,</w:t>
      </w:r>
      <w:r w:rsidR="00486C74">
        <w:rPr>
          <w:sz w:val="24"/>
          <w:szCs w:val="24"/>
        </w:rPr>
        <w:t xml:space="preserve"> placing students between the competent and accomplished levels.</w:t>
      </w:r>
      <w:r w:rsidRPr="00047D62">
        <w:rPr>
          <w:sz w:val="24"/>
          <w:szCs w:val="24"/>
        </w:rPr>
        <w:t xml:space="preserve"> </w:t>
      </w:r>
      <w:r w:rsidR="00CA6F4C" w:rsidRPr="00486C74">
        <w:rPr>
          <w:sz w:val="24"/>
          <w:szCs w:val="24"/>
        </w:rPr>
        <w:t>G</w:t>
      </w:r>
      <w:r w:rsidR="00CA6F4C" w:rsidRPr="00486C74">
        <w:rPr>
          <w:rFonts w:ascii="Calibri" w:eastAsia="Calibri" w:hAnsi="Calibri" w:cs="Calibri"/>
          <w:sz w:val="24"/>
          <w:szCs w:val="24"/>
        </w:rPr>
        <w:t xml:space="preserve">iven that </w:t>
      </w:r>
      <w:r w:rsidR="00CA6F4C">
        <w:rPr>
          <w:rFonts w:ascii="Calibri" w:eastAsia="Calibri" w:hAnsi="Calibri" w:cs="Calibri"/>
          <w:sz w:val="24"/>
          <w:szCs w:val="24"/>
        </w:rPr>
        <w:t>critical thinking and problem solving skills</w:t>
      </w:r>
      <w:r w:rsidR="00CA6F4C" w:rsidRPr="00486C74">
        <w:rPr>
          <w:rFonts w:ascii="Calibri" w:eastAsia="Calibri" w:hAnsi="Calibri" w:cs="Calibri"/>
          <w:sz w:val="24"/>
          <w:szCs w:val="24"/>
        </w:rPr>
        <w:t xml:space="preserve"> are developed iteratively over time and students will continue to apply and develop these skills throughout the remainder of their time at TCC</w:t>
      </w:r>
      <w:r w:rsidR="009B43E8">
        <w:rPr>
          <w:rFonts w:ascii="Calibri" w:eastAsia="Calibri" w:hAnsi="Calibri" w:cs="Calibri"/>
          <w:sz w:val="24"/>
          <w:szCs w:val="24"/>
        </w:rPr>
        <w:t xml:space="preserve">, these scores seem appropriate and </w:t>
      </w:r>
      <w:r w:rsidR="009B6F1D">
        <w:rPr>
          <w:rFonts w:ascii="Calibri" w:eastAsia="Calibri" w:hAnsi="Calibri" w:cs="Calibri"/>
          <w:sz w:val="24"/>
          <w:szCs w:val="24"/>
        </w:rPr>
        <w:t>similar</w:t>
      </w:r>
      <w:r w:rsidR="009B43E8">
        <w:rPr>
          <w:rFonts w:ascii="Calibri" w:eastAsia="Calibri" w:hAnsi="Calibri" w:cs="Calibri"/>
          <w:sz w:val="24"/>
          <w:szCs w:val="24"/>
        </w:rPr>
        <w:t xml:space="preserve"> to the 2013 assessment results.</w:t>
      </w:r>
    </w:p>
    <w:p w14:paraId="5AC79833" w14:textId="5A7169EB" w:rsidR="00F23BDE" w:rsidRDefault="00481193" w:rsidP="00F23BDE">
      <w:pPr>
        <w:rPr>
          <w:rFonts w:ascii="Calibri" w:eastAsia="Calibri" w:hAnsi="Calibri" w:cs="Calibri"/>
          <w:sz w:val="24"/>
          <w:szCs w:val="24"/>
        </w:rPr>
      </w:pPr>
      <w:r>
        <w:rPr>
          <w:rFonts w:ascii="Calibri" w:eastAsia="Calibri" w:hAnsi="Calibri" w:cs="Calibri"/>
          <w:sz w:val="24"/>
          <w:szCs w:val="24"/>
        </w:rPr>
        <w:t>It was particularly challenging to assess t</w:t>
      </w:r>
      <w:r w:rsidR="00F0632E">
        <w:rPr>
          <w:rFonts w:ascii="Calibri" w:eastAsia="Calibri" w:hAnsi="Calibri" w:cs="Calibri"/>
          <w:sz w:val="24"/>
          <w:szCs w:val="24"/>
        </w:rPr>
        <w:t>he A</w:t>
      </w:r>
      <w:r>
        <w:rPr>
          <w:rFonts w:ascii="Calibri" w:eastAsia="Calibri" w:hAnsi="Calibri" w:cs="Calibri"/>
          <w:sz w:val="24"/>
          <w:szCs w:val="24"/>
        </w:rPr>
        <w:t xml:space="preserve">nalysis and </w:t>
      </w:r>
      <w:r w:rsidR="00F0632E">
        <w:rPr>
          <w:rFonts w:ascii="Calibri" w:eastAsia="Calibri" w:hAnsi="Calibri" w:cs="Calibri"/>
          <w:sz w:val="24"/>
          <w:szCs w:val="24"/>
        </w:rPr>
        <w:t>C</w:t>
      </w:r>
      <w:r>
        <w:rPr>
          <w:rFonts w:ascii="Calibri" w:eastAsia="Calibri" w:hAnsi="Calibri" w:cs="Calibri"/>
          <w:sz w:val="24"/>
          <w:szCs w:val="24"/>
        </w:rPr>
        <w:t>omparison criterion elements of addressing diverse perspectives and analyzing their own or other’s assumptions and biases. In most cases, students were likely to choose only the sources that supported their thesis so the artifacts did not present opportunity to address diverse perspectives, and many assignments did not ask students to analyze their own or other’s assumptions and biases.</w:t>
      </w:r>
      <w:r w:rsidR="00F23BDE">
        <w:rPr>
          <w:rFonts w:ascii="Calibri" w:eastAsia="Calibri" w:hAnsi="Calibri" w:cs="Calibri"/>
          <w:sz w:val="24"/>
          <w:szCs w:val="24"/>
        </w:rPr>
        <w:t xml:space="preserve"> Additionally, there seemed to be an overreliance on sources with little analysis and some difficulty comparing sources.</w:t>
      </w:r>
    </w:p>
    <w:p w14:paraId="0E988CB3" w14:textId="2DAB20C3" w:rsidR="00E425F5" w:rsidRDefault="00E425F5" w:rsidP="52AF78E5">
      <w:pPr>
        <w:rPr>
          <w:rFonts w:ascii="Calibri" w:eastAsia="Calibri" w:hAnsi="Calibri" w:cs="Calibri"/>
          <w:sz w:val="24"/>
          <w:szCs w:val="24"/>
        </w:rPr>
      </w:pPr>
    </w:p>
    <w:p w14:paraId="2F0F4F81" w14:textId="413E3886" w:rsidR="00601752" w:rsidRDefault="00601752" w:rsidP="00601752">
      <w:pPr>
        <w:pStyle w:val="Heading2"/>
      </w:pPr>
      <w:r w:rsidRPr="00047D62">
        <w:lastRenderedPageBreak/>
        <w:t>CRT-</w:t>
      </w:r>
      <w:r>
        <w:t>STEM</w:t>
      </w:r>
    </w:p>
    <w:p w14:paraId="7C2B9EFB" w14:textId="781232E2" w:rsidR="00F0632E" w:rsidRDefault="00F0632E" w:rsidP="00F0632E">
      <w:pPr>
        <w:rPr>
          <w:rFonts w:ascii="Calibri" w:eastAsia="Calibri" w:hAnsi="Calibri" w:cs="Calibri"/>
          <w:sz w:val="24"/>
          <w:szCs w:val="24"/>
        </w:rPr>
      </w:pPr>
      <w:r>
        <w:rPr>
          <w:rFonts w:ascii="Calibri" w:eastAsia="Calibri" w:hAnsi="Calibri" w:cs="Calibri"/>
          <w:sz w:val="24"/>
          <w:szCs w:val="24"/>
        </w:rPr>
        <w:t>T</w:t>
      </w:r>
      <w:r w:rsidRPr="00CA6F4C">
        <w:rPr>
          <w:rFonts w:ascii="Calibri" w:eastAsia="Calibri" w:hAnsi="Calibri" w:cs="Calibri"/>
          <w:sz w:val="24"/>
          <w:szCs w:val="24"/>
        </w:rPr>
        <w:t xml:space="preserve">he </w:t>
      </w:r>
      <w:r>
        <w:rPr>
          <w:rFonts w:ascii="Calibri" w:eastAsia="Calibri" w:hAnsi="Calibri" w:cs="Calibri"/>
          <w:sz w:val="24"/>
          <w:szCs w:val="24"/>
        </w:rPr>
        <w:t xml:space="preserve">2013 assessment </w:t>
      </w:r>
      <w:r w:rsidRPr="00CA6F4C">
        <w:rPr>
          <w:rFonts w:ascii="Calibri" w:eastAsia="Calibri" w:hAnsi="Calibri" w:cs="Calibri"/>
          <w:sz w:val="24"/>
          <w:szCs w:val="24"/>
        </w:rPr>
        <w:t xml:space="preserve">rubric </w:t>
      </w:r>
      <w:r>
        <w:rPr>
          <w:rFonts w:ascii="Calibri" w:eastAsia="Calibri" w:hAnsi="Calibri" w:cs="Calibri"/>
          <w:sz w:val="24"/>
          <w:szCs w:val="24"/>
        </w:rPr>
        <w:t xml:space="preserve">used </w:t>
      </w:r>
      <w:r w:rsidRPr="00CA6F4C">
        <w:rPr>
          <w:rFonts w:ascii="Calibri" w:eastAsia="Calibri" w:hAnsi="Calibri" w:cs="Calibri"/>
          <w:sz w:val="24"/>
          <w:szCs w:val="24"/>
        </w:rPr>
        <w:t xml:space="preserve">different criteria and was adapted from an AAC&amp;U rubric, which is geared toward students at four-year institutions, </w:t>
      </w:r>
      <w:r>
        <w:rPr>
          <w:rFonts w:ascii="Calibri" w:eastAsia="Calibri" w:hAnsi="Calibri" w:cs="Calibri"/>
          <w:sz w:val="24"/>
          <w:szCs w:val="24"/>
        </w:rPr>
        <w:t>so no</w:t>
      </w:r>
      <w:r w:rsidRPr="00CA6F4C">
        <w:rPr>
          <w:rFonts w:ascii="Calibri" w:eastAsia="Calibri" w:hAnsi="Calibri" w:cs="Calibri"/>
          <w:sz w:val="24"/>
          <w:szCs w:val="24"/>
        </w:rPr>
        <w:t xml:space="preserve"> accurate comparisons can be made with </w:t>
      </w:r>
      <w:r>
        <w:rPr>
          <w:rFonts w:ascii="Calibri" w:eastAsia="Calibri" w:hAnsi="Calibri" w:cs="Calibri"/>
          <w:sz w:val="24"/>
          <w:szCs w:val="24"/>
        </w:rPr>
        <w:t xml:space="preserve">the </w:t>
      </w:r>
      <w:r w:rsidRPr="00CA6F4C">
        <w:rPr>
          <w:rFonts w:ascii="Calibri" w:eastAsia="Calibri" w:hAnsi="Calibri" w:cs="Calibri"/>
          <w:sz w:val="24"/>
          <w:szCs w:val="24"/>
        </w:rPr>
        <w:t>previous assessment work</w:t>
      </w:r>
      <w:r>
        <w:rPr>
          <w:rFonts w:ascii="Calibri" w:eastAsia="Calibri" w:hAnsi="Calibri" w:cs="Calibri"/>
          <w:sz w:val="24"/>
          <w:szCs w:val="24"/>
        </w:rPr>
        <w:t xml:space="preserve">. </w:t>
      </w:r>
      <w:r w:rsidRPr="00C31AD4">
        <w:rPr>
          <w:rFonts w:ascii="Calibri" w:eastAsia="Calibri" w:hAnsi="Calibri" w:cs="Calibri"/>
          <w:sz w:val="24"/>
          <w:szCs w:val="24"/>
        </w:rPr>
        <w:t xml:space="preserve">However, it can be noted that some challenges identified in the 2013 report have been addressed such as; de-identification of artifacts, inclusion of assignment instructions, </w:t>
      </w:r>
      <w:r>
        <w:rPr>
          <w:rFonts w:ascii="Calibri" w:eastAsia="Calibri" w:hAnsi="Calibri" w:cs="Calibri"/>
          <w:sz w:val="24"/>
          <w:szCs w:val="24"/>
        </w:rPr>
        <w:t>and the s</w:t>
      </w:r>
      <w:r w:rsidRPr="00C31AD4">
        <w:rPr>
          <w:rFonts w:ascii="Calibri" w:eastAsia="Calibri" w:hAnsi="Calibri" w:cs="Calibri"/>
          <w:sz w:val="24"/>
          <w:szCs w:val="24"/>
        </w:rPr>
        <w:t>coring of artifacts</w:t>
      </w:r>
      <w:r>
        <w:rPr>
          <w:rFonts w:ascii="Calibri" w:eastAsia="Calibri" w:hAnsi="Calibri" w:cs="Calibri"/>
          <w:sz w:val="24"/>
          <w:szCs w:val="24"/>
        </w:rPr>
        <w:t xml:space="preserve"> with</w:t>
      </w:r>
      <w:r w:rsidRPr="00C31AD4">
        <w:rPr>
          <w:rFonts w:ascii="Calibri" w:eastAsia="Calibri" w:hAnsi="Calibri" w:cs="Calibri"/>
          <w:sz w:val="24"/>
          <w:szCs w:val="24"/>
        </w:rPr>
        <w:t xml:space="preserve"> the application of the rubric.</w:t>
      </w:r>
    </w:p>
    <w:p w14:paraId="0B0B3C68" w14:textId="13DC52FE" w:rsidR="00601752" w:rsidRPr="00601752" w:rsidRDefault="009C285D" w:rsidP="00601752">
      <w:r w:rsidRPr="52AF78E5">
        <w:rPr>
          <w:rFonts w:ascii="Calibri" w:eastAsia="Calibri" w:hAnsi="Calibri" w:cs="Calibri"/>
          <w:sz w:val="24"/>
          <w:szCs w:val="24"/>
        </w:rPr>
        <w:t xml:space="preserve">The </w:t>
      </w:r>
      <w:r w:rsidRPr="52AF78E5">
        <w:rPr>
          <w:sz w:val="24"/>
          <w:szCs w:val="24"/>
        </w:rPr>
        <w:t xml:space="preserve">sample size of STEM-type artifacts </w:t>
      </w:r>
      <w:r w:rsidR="77378BFE" w:rsidRPr="52AF78E5">
        <w:rPr>
          <w:sz w:val="24"/>
          <w:szCs w:val="24"/>
        </w:rPr>
        <w:t xml:space="preserve">might be </w:t>
      </w:r>
      <w:r w:rsidRPr="52AF78E5">
        <w:rPr>
          <w:sz w:val="24"/>
          <w:szCs w:val="24"/>
        </w:rPr>
        <w:t xml:space="preserve">too small to generalize the results. </w:t>
      </w:r>
      <w:r w:rsidR="009B6F1D" w:rsidRPr="52AF78E5">
        <w:rPr>
          <w:sz w:val="24"/>
          <w:szCs w:val="24"/>
        </w:rPr>
        <w:t xml:space="preserve">The scores for </w:t>
      </w:r>
      <w:r w:rsidRPr="52AF78E5">
        <w:rPr>
          <w:sz w:val="24"/>
          <w:szCs w:val="24"/>
        </w:rPr>
        <w:t>these</w:t>
      </w:r>
      <w:r w:rsidR="009B6F1D" w:rsidRPr="52AF78E5">
        <w:rPr>
          <w:sz w:val="24"/>
          <w:szCs w:val="24"/>
        </w:rPr>
        <w:t xml:space="preserve"> artifacts also</w:t>
      </w:r>
      <w:r w:rsidR="00F0632E" w:rsidRPr="52AF78E5">
        <w:rPr>
          <w:sz w:val="24"/>
          <w:szCs w:val="24"/>
        </w:rPr>
        <w:t xml:space="preserve"> vary</w:t>
      </w:r>
      <w:r w:rsidR="00601752" w:rsidRPr="52AF78E5">
        <w:rPr>
          <w:sz w:val="24"/>
          <w:szCs w:val="24"/>
        </w:rPr>
        <w:t xml:space="preserve"> depending on how the data is sorted</w:t>
      </w:r>
      <w:r w:rsidR="009B6F1D" w:rsidRPr="52AF78E5">
        <w:rPr>
          <w:sz w:val="24"/>
          <w:szCs w:val="24"/>
        </w:rPr>
        <w:t>. T</w:t>
      </w:r>
      <w:r w:rsidR="00601752" w:rsidRPr="52AF78E5">
        <w:rPr>
          <w:sz w:val="24"/>
          <w:szCs w:val="24"/>
        </w:rPr>
        <w:t xml:space="preserve">he </w:t>
      </w:r>
      <w:r w:rsidR="009B6F1D" w:rsidRPr="52AF78E5">
        <w:rPr>
          <w:sz w:val="24"/>
          <w:szCs w:val="24"/>
        </w:rPr>
        <w:t xml:space="preserve">criterion </w:t>
      </w:r>
      <w:r w:rsidR="00601752" w:rsidRPr="52AF78E5">
        <w:rPr>
          <w:sz w:val="24"/>
          <w:szCs w:val="24"/>
        </w:rPr>
        <w:t xml:space="preserve">Finding/Evaluating Data that Addresses the Question/Hypothesis generally received the highest score, while the </w:t>
      </w:r>
      <w:r w:rsidR="009B6F1D" w:rsidRPr="52AF78E5">
        <w:rPr>
          <w:sz w:val="24"/>
          <w:szCs w:val="24"/>
        </w:rPr>
        <w:t xml:space="preserve">criterion </w:t>
      </w:r>
      <w:r w:rsidR="00601752" w:rsidRPr="52AF78E5">
        <w:rPr>
          <w:sz w:val="24"/>
          <w:szCs w:val="24"/>
        </w:rPr>
        <w:t xml:space="preserve">Evaluating and Drawing Relevant Conclusions from the Data most often </w:t>
      </w:r>
      <w:r w:rsidR="009B6F1D" w:rsidRPr="52AF78E5">
        <w:rPr>
          <w:sz w:val="24"/>
          <w:szCs w:val="24"/>
        </w:rPr>
        <w:t xml:space="preserve">received </w:t>
      </w:r>
      <w:r w:rsidR="00601752" w:rsidRPr="52AF78E5">
        <w:rPr>
          <w:sz w:val="24"/>
          <w:szCs w:val="24"/>
        </w:rPr>
        <w:t>the lowest</w:t>
      </w:r>
      <w:r w:rsidR="009B6F1D" w:rsidRPr="52AF78E5">
        <w:rPr>
          <w:sz w:val="24"/>
          <w:szCs w:val="24"/>
        </w:rPr>
        <w:t xml:space="preserve"> score</w:t>
      </w:r>
      <w:r w:rsidR="00601752" w:rsidRPr="52AF78E5">
        <w:rPr>
          <w:sz w:val="24"/>
          <w:szCs w:val="24"/>
        </w:rPr>
        <w:t>. The</w:t>
      </w:r>
      <w:r w:rsidR="009B6F1D" w:rsidRPr="52AF78E5">
        <w:rPr>
          <w:sz w:val="24"/>
          <w:szCs w:val="24"/>
        </w:rPr>
        <w:t xml:space="preserve"> scores for the</w:t>
      </w:r>
      <w:r w:rsidR="00601752" w:rsidRPr="52AF78E5">
        <w:rPr>
          <w:sz w:val="24"/>
          <w:szCs w:val="24"/>
        </w:rPr>
        <w:t xml:space="preserve"> Evaluating and Drawing Relevant Conclusions from the Data criterion </w:t>
      </w:r>
      <w:r w:rsidR="009B6F1D" w:rsidRPr="52AF78E5">
        <w:rPr>
          <w:sz w:val="24"/>
          <w:szCs w:val="24"/>
        </w:rPr>
        <w:t>were in</w:t>
      </w:r>
      <w:r w:rsidR="00601752" w:rsidRPr="52AF78E5">
        <w:rPr>
          <w:sz w:val="24"/>
          <w:szCs w:val="24"/>
        </w:rPr>
        <w:t xml:space="preserve"> </w:t>
      </w:r>
      <w:r w:rsidR="009B6F1D" w:rsidRPr="52AF78E5">
        <w:rPr>
          <w:sz w:val="24"/>
          <w:szCs w:val="24"/>
        </w:rPr>
        <w:t xml:space="preserve">the </w:t>
      </w:r>
      <w:r w:rsidR="00601752" w:rsidRPr="52AF78E5">
        <w:rPr>
          <w:sz w:val="24"/>
          <w:szCs w:val="24"/>
        </w:rPr>
        <w:t>lower threes, placing students slightly above the competent level for this criterion. All other criterion scores were between three and four, placing students between the competent and accomplished levels. G</w:t>
      </w:r>
      <w:r w:rsidR="00601752" w:rsidRPr="52AF78E5">
        <w:rPr>
          <w:rFonts w:ascii="Calibri" w:eastAsia="Calibri" w:hAnsi="Calibri" w:cs="Calibri"/>
          <w:sz w:val="24"/>
          <w:szCs w:val="24"/>
        </w:rPr>
        <w:t>iven that critical thinking and problem solving skills are developed iteratively over time and students will continue to apply and develop these skills throughout the remainder of their time at TCC, these scores seem appropriate</w:t>
      </w:r>
      <w:r w:rsidR="009B6F1D" w:rsidRPr="52AF78E5">
        <w:rPr>
          <w:rFonts w:ascii="Calibri" w:eastAsia="Calibri" w:hAnsi="Calibri" w:cs="Calibri"/>
          <w:sz w:val="24"/>
          <w:szCs w:val="24"/>
        </w:rPr>
        <w:t>, and similar to the 2013 assessment results.</w:t>
      </w:r>
    </w:p>
    <w:p w14:paraId="6F18CB14" w14:textId="5DC4EAF2" w:rsidR="00FE4B8C" w:rsidRDefault="00DA403C" w:rsidP="00DA687E">
      <w:pPr>
        <w:pStyle w:val="Heading1"/>
      </w:pPr>
      <w:r>
        <w:t>Recommendations</w:t>
      </w:r>
    </w:p>
    <w:p w14:paraId="66762705" w14:textId="60B23C05" w:rsidR="00601752" w:rsidRDefault="009C285D" w:rsidP="00601752">
      <w:r>
        <w:rPr>
          <w:rFonts w:ascii="Calibri" w:eastAsia="Calibri" w:hAnsi="Calibri" w:cs="Calibri"/>
          <w:sz w:val="24"/>
          <w:szCs w:val="24"/>
        </w:rPr>
        <w:t>For the most part, t</w:t>
      </w:r>
      <w:r w:rsidRPr="36F3E62E">
        <w:rPr>
          <w:sz w:val="24"/>
          <w:szCs w:val="24"/>
        </w:rPr>
        <w:t>he verbiage of the CRT DLO and the rubrics were effective.</w:t>
      </w:r>
      <w:r>
        <w:rPr>
          <w:sz w:val="24"/>
          <w:szCs w:val="24"/>
        </w:rPr>
        <w:t xml:space="preserve"> However, s</w:t>
      </w:r>
      <w:r>
        <w:rPr>
          <w:rFonts w:ascii="Calibri" w:eastAsia="Calibri" w:hAnsi="Calibri" w:cs="Calibri"/>
          <w:sz w:val="24"/>
          <w:szCs w:val="24"/>
        </w:rPr>
        <w:t>ince many assignments did not ask students to analyze their own or other’s assumptions and biases or address diverse perspectives, c</w:t>
      </w:r>
      <w:r w:rsidR="001D76AB">
        <w:rPr>
          <w:rFonts w:ascii="Calibri" w:eastAsia="Calibri" w:hAnsi="Calibri" w:cs="Calibri"/>
          <w:sz w:val="24"/>
          <w:szCs w:val="24"/>
        </w:rPr>
        <w:t xml:space="preserve">onsider revisiting the verbiage of </w:t>
      </w:r>
      <w:r>
        <w:rPr>
          <w:rFonts w:ascii="Calibri" w:eastAsia="Calibri" w:hAnsi="Calibri" w:cs="Calibri"/>
          <w:sz w:val="24"/>
          <w:szCs w:val="24"/>
        </w:rPr>
        <w:t>this specific CRT-Essay rubric criterion.</w:t>
      </w:r>
    </w:p>
    <w:p w14:paraId="1E393C59" w14:textId="739ED3BE" w:rsidR="009C285D" w:rsidRPr="00EC2E6A" w:rsidRDefault="009C285D" w:rsidP="009C285D">
      <w:pPr>
        <w:rPr>
          <w:sz w:val="24"/>
          <w:szCs w:val="24"/>
        </w:rPr>
      </w:pPr>
      <w:r w:rsidRPr="36F3E62E">
        <w:rPr>
          <w:sz w:val="24"/>
          <w:szCs w:val="24"/>
        </w:rPr>
        <w:t xml:space="preserve">Faculty </w:t>
      </w:r>
      <w:r>
        <w:rPr>
          <w:sz w:val="24"/>
          <w:szCs w:val="24"/>
        </w:rPr>
        <w:t>are</w:t>
      </w:r>
      <w:r w:rsidRPr="36F3E62E">
        <w:rPr>
          <w:sz w:val="24"/>
          <w:szCs w:val="24"/>
        </w:rPr>
        <w:t xml:space="preserve"> encouraged to use this report to help inform curriculum revisions in their classes/program or to as a starting point in creating their own assessment project around CRT.</w:t>
      </w:r>
    </w:p>
    <w:p w14:paraId="25D8AACD" w14:textId="0222189E" w:rsidR="00F44304" w:rsidRDefault="00F44304" w:rsidP="00F23BDE">
      <w:pPr>
        <w:rPr>
          <w:rFonts w:ascii="Arial" w:hAnsi="Arial" w:cs="Arial"/>
          <w:color w:val="000000"/>
          <w:sz w:val="20"/>
          <w:szCs w:val="20"/>
          <w:shd w:val="clear" w:color="auto" w:fill="FFFFFF"/>
        </w:rPr>
      </w:pPr>
    </w:p>
    <w:p w14:paraId="1CBC6CE3" w14:textId="03AA10F1" w:rsidR="00706B95" w:rsidRPr="00F41B40" w:rsidRDefault="00706B95" w:rsidP="00F41B40">
      <w:pPr>
        <w:rPr>
          <w:sz w:val="24"/>
          <w:szCs w:val="24"/>
        </w:rPr>
      </w:pPr>
    </w:p>
    <w:sectPr w:rsidR="00706B95" w:rsidRPr="00F41B40" w:rsidSect="00332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E64"/>
    <w:multiLevelType w:val="hybridMultilevel"/>
    <w:tmpl w:val="2414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A2CC2"/>
    <w:multiLevelType w:val="hybridMultilevel"/>
    <w:tmpl w:val="9D3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F7A33"/>
    <w:multiLevelType w:val="hybridMultilevel"/>
    <w:tmpl w:val="9532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3C"/>
    <w:rsid w:val="000054F0"/>
    <w:rsid w:val="00014A6F"/>
    <w:rsid w:val="00025B21"/>
    <w:rsid w:val="00035815"/>
    <w:rsid w:val="000428CC"/>
    <w:rsid w:val="00043543"/>
    <w:rsid w:val="00045A47"/>
    <w:rsid w:val="00047D62"/>
    <w:rsid w:val="000551ED"/>
    <w:rsid w:val="00067C4F"/>
    <w:rsid w:val="000873C6"/>
    <w:rsid w:val="000970C3"/>
    <w:rsid w:val="000C3080"/>
    <w:rsid w:val="000D0E25"/>
    <w:rsid w:val="000D3EF9"/>
    <w:rsid w:val="000D4DD1"/>
    <w:rsid w:val="000E2306"/>
    <w:rsid w:val="00110113"/>
    <w:rsid w:val="00144322"/>
    <w:rsid w:val="00145002"/>
    <w:rsid w:val="00145D69"/>
    <w:rsid w:val="00147DFD"/>
    <w:rsid w:val="00160423"/>
    <w:rsid w:val="00173237"/>
    <w:rsid w:val="001744F8"/>
    <w:rsid w:val="001874A6"/>
    <w:rsid w:val="001A0C28"/>
    <w:rsid w:val="001B042F"/>
    <w:rsid w:val="001B3DEB"/>
    <w:rsid w:val="001D76AB"/>
    <w:rsid w:val="001E49C9"/>
    <w:rsid w:val="001F5541"/>
    <w:rsid w:val="00211D0B"/>
    <w:rsid w:val="00216A58"/>
    <w:rsid w:val="00222CEA"/>
    <w:rsid w:val="00243556"/>
    <w:rsid w:val="00273319"/>
    <w:rsid w:val="00273886"/>
    <w:rsid w:val="00273A86"/>
    <w:rsid w:val="00285669"/>
    <w:rsid w:val="002913F3"/>
    <w:rsid w:val="002A0C3D"/>
    <w:rsid w:val="002A6AAC"/>
    <w:rsid w:val="002B6FC6"/>
    <w:rsid w:val="002C538B"/>
    <w:rsid w:val="002D4117"/>
    <w:rsid w:val="002E736D"/>
    <w:rsid w:val="002F32C0"/>
    <w:rsid w:val="002F7A76"/>
    <w:rsid w:val="00330C3F"/>
    <w:rsid w:val="00332033"/>
    <w:rsid w:val="00334685"/>
    <w:rsid w:val="003474FA"/>
    <w:rsid w:val="00357361"/>
    <w:rsid w:val="00370507"/>
    <w:rsid w:val="00370C82"/>
    <w:rsid w:val="003712AD"/>
    <w:rsid w:val="00377EBC"/>
    <w:rsid w:val="00387083"/>
    <w:rsid w:val="00397896"/>
    <w:rsid w:val="003B615D"/>
    <w:rsid w:val="003D38DD"/>
    <w:rsid w:val="003D4278"/>
    <w:rsid w:val="003E7F4A"/>
    <w:rsid w:val="003F53DA"/>
    <w:rsid w:val="0040023A"/>
    <w:rsid w:val="00430A7B"/>
    <w:rsid w:val="004541A4"/>
    <w:rsid w:val="00473DA4"/>
    <w:rsid w:val="00475520"/>
    <w:rsid w:val="0047679A"/>
    <w:rsid w:val="00480D15"/>
    <w:rsid w:val="00481193"/>
    <w:rsid w:val="00486C74"/>
    <w:rsid w:val="004A12A8"/>
    <w:rsid w:val="004A52B9"/>
    <w:rsid w:val="004C161A"/>
    <w:rsid w:val="004C5A8A"/>
    <w:rsid w:val="004C68C9"/>
    <w:rsid w:val="004D6E87"/>
    <w:rsid w:val="004E5FAE"/>
    <w:rsid w:val="004E63EA"/>
    <w:rsid w:val="004E7837"/>
    <w:rsid w:val="005039CB"/>
    <w:rsid w:val="00511A87"/>
    <w:rsid w:val="00517FE7"/>
    <w:rsid w:val="005315D9"/>
    <w:rsid w:val="00545C12"/>
    <w:rsid w:val="00554C30"/>
    <w:rsid w:val="0057676A"/>
    <w:rsid w:val="00585B6D"/>
    <w:rsid w:val="005865AC"/>
    <w:rsid w:val="005905FF"/>
    <w:rsid w:val="005A20E9"/>
    <w:rsid w:val="005A3F10"/>
    <w:rsid w:val="005B698F"/>
    <w:rsid w:val="005C205F"/>
    <w:rsid w:val="005D2092"/>
    <w:rsid w:val="005E24DF"/>
    <w:rsid w:val="00601752"/>
    <w:rsid w:val="00614AC4"/>
    <w:rsid w:val="006440A9"/>
    <w:rsid w:val="006503C2"/>
    <w:rsid w:val="0065523D"/>
    <w:rsid w:val="00657389"/>
    <w:rsid w:val="006625E7"/>
    <w:rsid w:val="00686E7A"/>
    <w:rsid w:val="006960A2"/>
    <w:rsid w:val="006E2F13"/>
    <w:rsid w:val="006F38D2"/>
    <w:rsid w:val="006F4F55"/>
    <w:rsid w:val="006F7F20"/>
    <w:rsid w:val="00701B35"/>
    <w:rsid w:val="00706B95"/>
    <w:rsid w:val="0071555A"/>
    <w:rsid w:val="00716ED6"/>
    <w:rsid w:val="00722D04"/>
    <w:rsid w:val="00736182"/>
    <w:rsid w:val="007527C6"/>
    <w:rsid w:val="00764E77"/>
    <w:rsid w:val="00767093"/>
    <w:rsid w:val="007757B6"/>
    <w:rsid w:val="00777E2A"/>
    <w:rsid w:val="007870AF"/>
    <w:rsid w:val="00796570"/>
    <w:rsid w:val="007A2CAB"/>
    <w:rsid w:val="007B0184"/>
    <w:rsid w:val="007B44A3"/>
    <w:rsid w:val="007C3DA3"/>
    <w:rsid w:val="007E12E9"/>
    <w:rsid w:val="007F2995"/>
    <w:rsid w:val="0080078B"/>
    <w:rsid w:val="008340FD"/>
    <w:rsid w:val="008426FA"/>
    <w:rsid w:val="00870232"/>
    <w:rsid w:val="008728AD"/>
    <w:rsid w:val="008D6811"/>
    <w:rsid w:val="008D7802"/>
    <w:rsid w:val="008D7E7F"/>
    <w:rsid w:val="008E5A36"/>
    <w:rsid w:val="008E6F32"/>
    <w:rsid w:val="009032AE"/>
    <w:rsid w:val="009045F2"/>
    <w:rsid w:val="0091159C"/>
    <w:rsid w:val="00912846"/>
    <w:rsid w:val="00920C34"/>
    <w:rsid w:val="00924F1F"/>
    <w:rsid w:val="00932512"/>
    <w:rsid w:val="00950B5B"/>
    <w:rsid w:val="00967273"/>
    <w:rsid w:val="009719E1"/>
    <w:rsid w:val="00977B0C"/>
    <w:rsid w:val="00982ACB"/>
    <w:rsid w:val="00985C73"/>
    <w:rsid w:val="0099409C"/>
    <w:rsid w:val="009B40C2"/>
    <w:rsid w:val="009B43E8"/>
    <w:rsid w:val="009B6F1D"/>
    <w:rsid w:val="009C285D"/>
    <w:rsid w:val="009D48BF"/>
    <w:rsid w:val="009E7B93"/>
    <w:rsid w:val="009F780E"/>
    <w:rsid w:val="00A03993"/>
    <w:rsid w:val="00A03ED6"/>
    <w:rsid w:val="00A269C7"/>
    <w:rsid w:val="00A57295"/>
    <w:rsid w:val="00A63BA2"/>
    <w:rsid w:val="00A63FCE"/>
    <w:rsid w:val="00A64A1D"/>
    <w:rsid w:val="00A7665C"/>
    <w:rsid w:val="00A76780"/>
    <w:rsid w:val="00A80BD8"/>
    <w:rsid w:val="00A812A3"/>
    <w:rsid w:val="00A9532A"/>
    <w:rsid w:val="00A95DEC"/>
    <w:rsid w:val="00AB1B44"/>
    <w:rsid w:val="00AC0609"/>
    <w:rsid w:val="00AC3F3B"/>
    <w:rsid w:val="00AC7D3A"/>
    <w:rsid w:val="00B04458"/>
    <w:rsid w:val="00B15450"/>
    <w:rsid w:val="00B17412"/>
    <w:rsid w:val="00B26925"/>
    <w:rsid w:val="00B53B37"/>
    <w:rsid w:val="00B60616"/>
    <w:rsid w:val="00B663DC"/>
    <w:rsid w:val="00B923D4"/>
    <w:rsid w:val="00B97AC2"/>
    <w:rsid w:val="00BC2641"/>
    <w:rsid w:val="00BC7ACC"/>
    <w:rsid w:val="00BD3CEF"/>
    <w:rsid w:val="00BE7B83"/>
    <w:rsid w:val="00BF20D0"/>
    <w:rsid w:val="00BF2626"/>
    <w:rsid w:val="00BF3969"/>
    <w:rsid w:val="00BF5D3A"/>
    <w:rsid w:val="00BF7266"/>
    <w:rsid w:val="00C06EE5"/>
    <w:rsid w:val="00C07282"/>
    <w:rsid w:val="00C10969"/>
    <w:rsid w:val="00C1280E"/>
    <w:rsid w:val="00C26736"/>
    <w:rsid w:val="00C31AD4"/>
    <w:rsid w:val="00C3269D"/>
    <w:rsid w:val="00C35D4A"/>
    <w:rsid w:val="00C46476"/>
    <w:rsid w:val="00C46B9C"/>
    <w:rsid w:val="00C61702"/>
    <w:rsid w:val="00C61FEB"/>
    <w:rsid w:val="00C70968"/>
    <w:rsid w:val="00C737EA"/>
    <w:rsid w:val="00C77043"/>
    <w:rsid w:val="00C8621E"/>
    <w:rsid w:val="00C919C3"/>
    <w:rsid w:val="00C92729"/>
    <w:rsid w:val="00C9362F"/>
    <w:rsid w:val="00CA6F4C"/>
    <w:rsid w:val="00CD1014"/>
    <w:rsid w:val="00CE08AA"/>
    <w:rsid w:val="00CE2B31"/>
    <w:rsid w:val="00CF0BA4"/>
    <w:rsid w:val="00CF5881"/>
    <w:rsid w:val="00D135EB"/>
    <w:rsid w:val="00D240AC"/>
    <w:rsid w:val="00D26B50"/>
    <w:rsid w:val="00D97440"/>
    <w:rsid w:val="00DA0C84"/>
    <w:rsid w:val="00DA403C"/>
    <w:rsid w:val="00DA687E"/>
    <w:rsid w:val="00DB2061"/>
    <w:rsid w:val="00DB745B"/>
    <w:rsid w:val="00DC0C88"/>
    <w:rsid w:val="00DD091C"/>
    <w:rsid w:val="00DD2B7B"/>
    <w:rsid w:val="00DD34FC"/>
    <w:rsid w:val="00DD66DA"/>
    <w:rsid w:val="00DF21B9"/>
    <w:rsid w:val="00E13778"/>
    <w:rsid w:val="00E2067C"/>
    <w:rsid w:val="00E369EA"/>
    <w:rsid w:val="00E425F5"/>
    <w:rsid w:val="00E613E1"/>
    <w:rsid w:val="00E63A9E"/>
    <w:rsid w:val="00E70E6F"/>
    <w:rsid w:val="00E72EC9"/>
    <w:rsid w:val="00E74C75"/>
    <w:rsid w:val="00E820C7"/>
    <w:rsid w:val="00EB1FA1"/>
    <w:rsid w:val="00EB347A"/>
    <w:rsid w:val="00EC2E6A"/>
    <w:rsid w:val="00F0632E"/>
    <w:rsid w:val="00F231E9"/>
    <w:rsid w:val="00F23BDE"/>
    <w:rsid w:val="00F2426E"/>
    <w:rsid w:val="00F41B40"/>
    <w:rsid w:val="00F44304"/>
    <w:rsid w:val="00F51E6F"/>
    <w:rsid w:val="00F6463C"/>
    <w:rsid w:val="00F714F7"/>
    <w:rsid w:val="00F77E48"/>
    <w:rsid w:val="00FA052E"/>
    <w:rsid w:val="00FA481D"/>
    <w:rsid w:val="00FA5D39"/>
    <w:rsid w:val="00FC1FDA"/>
    <w:rsid w:val="00FD1A30"/>
    <w:rsid w:val="00FD22DB"/>
    <w:rsid w:val="00FD4FBA"/>
    <w:rsid w:val="00FD565A"/>
    <w:rsid w:val="00FD6D00"/>
    <w:rsid w:val="00FE4B8C"/>
    <w:rsid w:val="00FF6A22"/>
    <w:rsid w:val="02A6189E"/>
    <w:rsid w:val="07058577"/>
    <w:rsid w:val="107F3E44"/>
    <w:rsid w:val="172E68E4"/>
    <w:rsid w:val="1C1D02AF"/>
    <w:rsid w:val="21D4E7C1"/>
    <w:rsid w:val="2324FE09"/>
    <w:rsid w:val="233407CB"/>
    <w:rsid w:val="257D497D"/>
    <w:rsid w:val="283A5D81"/>
    <w:rsid w:val="29586C2F"/>
    <w:rsid w:val="2C4B140D"/>
    <w:rsid w:val="2CB495F0"/>
    <w:rsid w:val="2E00F7D7"/>
    <w:rsid w:val="335C2A8B"/>
    <w:rsid w:val="36F3E62E"/>
    <w:rsid w:val="38E59C92"/>
    <w:rsid w:val="39AED416"/>
    <w:rsid w:val="3AFD1F8A"/>
    <w:rsid w:val="40452722"/>
    <w:rsid w:val="410915FA"/>
    <w:rsid w:val="43248D27"/>
    <w:rsid w:val="45C5D1D7"/>
    <w:rsid w:val="45CB7829"/>
    <w:rsid w:val="48CE2A6B"/>
    <w:rsid w:val="4905E84D"/>
    <w:rsid w:val="494B7272"/>
    <w:rsid w:val="4C5C9205"/>
    <w:rsid w:val="4CCCA409"/>
    <w:rsid w:val="4E0AB8E8"/>
    <w:rsid w:val="4F4792F3"/>
    <w:rsid w:val="4FF5A2C9"/>
    <w:rsid w:val="5053A02A"/>
    <w:rsid w:val="5169F91C"/>
    <w:rsid w:val="51A96A1D"/>
    <w:rsid w:val="5244F4B1"/>
    <w:rsid w:val="52AF78E5"/>
    <w:rsid w:val="534BC96D"/>
    <w:rsid w:val="5566DC75"/>
    <w:rsid w:val="55D3B821"/>
    <w:rsid w:val="563FC92B"/>
    <w:rsid w:val="59460603"/>
    <w:rsid w:val="5D5014C6"/>
    <w:rsid w:val="5D810545"/>
    <w:rsid w:val="5E788E7E"/>
    <w:rsid w:val="63A25542"/>
    <w:rsid w:val="643371BE"/>
    <w:rsid w:val="68D4C881"/>
    <w:rsid w:val="6B4D1D3B"/>
    <w:rsid w:val="6B50E57F"/>
    <w:rsid w:val="6D24743B"/>
    <w:rsid w:val="6E1F755B"/>
    <w:rsid w:val="6F726024"/>
    <w:rsid w:val="7020C0DC"/>
    <w:rsid w:val="7291959B"/>
    <w:rsid w:val="72FA920C"/>
    <w:rsid w:val="730E9D15"/>
    <w:rsid w:val="7427F719"/>
    <w:rsid w:val="769000DA"/>
    <w:rsid w:val="77378BFE"/>
    <w:rsid w:val="77EA7FF9"/>
    <w:rsid w:val="7A20950C"/>
    <w:rsid w:val="7CC322CA"/>
    <w:rsid w:val="7D603C67"/>
    <w:rsid w:val="7FD5D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0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0C3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E6F32"/>
    <w:rPr>
      <w:color w:val="0000FF" w:themeColor="hyperlink"/>
      <w:u w:val="single"/>
    </w:rPr>
  </w:style>
  <w:style w:type="character" w:styleId="FollowedHyperlink">
    <w:name w:val="FollowedHyperlink"/>
    <w:basedOn w:val="DefaultParagraphFont"/>
    <w:uiPriority w:val="99"/>
    <w:semiHidden/>
    <w:unhideWhenUsed/>
    <w:rsid w:val="00B04458"/>
    <w:rPr>
      <w:color w:val="800080" w:themeColor="followedHyperlink"/>
      <w:u w:val="single"/>
    </w:rPr>
  </w:style>
  <w:style w:type="paragraph" w:styleId="ListParagraph">
    <w:name w:val="List Paragraph"/>
    <w:basedOn w:val="Normal"/>
    <w:uiPriority w:val="34"/>
    <w:qFormat/>
    <w:rsid w:val="00764E77"/>
    <w:pPr>
      <w:ind w:left="720"/>
      <w:contextualSpacing/>
    </w:pPr>
  </w:style>
  <w:style w:type="paragraph" w:styleId="BalloonText">
    <w:name w:val="Balloon Text"/>
    <w:basedOn w:val="Normal"/>
    <w:link w:val="BalloonTextChar"/>
    <w:uiPriority w:val="99"/>
    <w:semiHidden/>
    <w:unhideWhenUsed/>
    <w:rsid w:val="00B923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3D4"/>
    <w:rPr>
      <w:rFonts w:ascii="Lucida Grande" w:hAnsi="Lucida Grande"/>
      <w:sz w:val="18"/>
      <w:szCs w:val="18"/>
    </w:rPr>
  </w:style>
  <w:style w:type="character" w:customStyle="1" w:styleId="normaltextrun">
    <w:name w:val="normaltextrun"/>
    <w:basedOn w:val="DefaultParagraphFont"/>
    <w:rsid w:val="005865AC"/>
  </w:style>
  <w:style w:type="paragraph" w:customStyle="1" w:styleId="paragraph">
    <w:name w:val="paragraph"/>
    <w:basedOn w:val="Normal"/>
    <w:rsid w:val="005865AC"/>
    <w:pPr>
      <w:spacing w:before="100" w:beforeAutospacing="1" w:after="100" w:afterAutospacing="1" w:line="240" w:lineRule="auto"/>
    </w:pPr>
    <w:rPr>
      <w:rFonts w:ascii="Times" w:hAnsi="Times"/>
      <w:sz w:val="20"/>
      <w:szCs w:val="20"/>
    </w:rPr>
  </w:style>
  <w:style w:type="character" w:customStyle="1" w:styleId="eop">
    <w:name w:val="eop"/>
    <w:basedOn w:val="DefaultParagraphFont"/>
    <w:rsid w:val="005865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0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0C3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E6F32"/>
    <w:rPr>
      <w:color w:val="0000FF" w:themeColor="hyperlink"/>
      <w:u w:val="single"/>
    </w:rPr>
  </w:style>
  <w:style w:type="character" w:styleId="FollowedHyperlink">
    <w:name w:val="FollowedHyperlink"/>
    <w:basedOn w:val="DefaultParagraphFont"/>
    <w:uiPriority w:val="99"/>
    <w:semiHidden/>
    <w:unhideWhenUsed/>
    <w:rsid w:val="00B04458"/>
    <w:rPr>
      <w:color w:val="800080" w:themeColor="followedHyperlink"/>
      <w:u w:val="single"/>
    </w:rPr>
  </w:style>
  <w:style w:type="paragraph" w:styleId="ListParagraph">
    <w:name w:val="List Paragraph"/>
    <w:basedOn w:val="Normal"/>
    <w:uiPriority w:val="34"/>
    <w:qFormat/>
    <w:rsid w:val="00764E77"/>
    <w:pPr>
      <w:ind w:left="720"/>
      <w:contextualSpacing/>
    </w:pPr>
  </w:style>
  <w:style w:type="paragraph" w:styleId="BalloonText">
    <w:name w:val="Balloon Text"/>
    <w:basedOn w:val="Normal"/>
    <w:link w:val="BalloonTextChar"/>
    <w:uiPriority w:val="99"/>
    <w:semiHidden/>
    <w:unhideWhenUsed/>
    <w:rsid w:val="00B923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3D4"/>
    <w:rPr>
      <w:rFonts w:ascii="Lucida Grande" w:hAnsi="Lucida Grande"/>
      <w:sz w:val="18"/>
      <w:szCs w:val="18"/>
    </w:rPr>
  </w:style>
  <w:style w:type="character" w:customStyle="1" w:styleId="normaltextrun">
    <w:name w:val="normaltextrun"/>
    <w:basedOn w:val="DefaultParagraphFont"/>
    <w:rsid w:val="005865AC"/>
  </w:style>
  <w:style w:type="paragraph" w:customStyle="1" w:styleId="paragraph">
    <w:name w:val="paragraph"/>
    <w:basedOn w:val="Normal"/>
    <w:rsid w:val="005865AC"/>
    <w:pPr>
      <w:spacing w:before="100" w:beforeAutospacing="1" w:after="100" w:afterAutospacing="1" w:line="240" w:lineRule="auto"/>
    </w:pPr>
    <w:rPr>
      <w:rFonts w:ascii="Times" w:hAnsi="Times"/>
      <w:sz w:val="20"/>
      <w:szCs w:val="20"/>
    </w:rPr>
  </w:style>
  <w:style w:type="character" w:customStyle="1" w:styleId="eop">
    <w:name w:val="eop"/>
    <w:basedOn w:val="DefaultParagraphFont"/>
    <w:rsid w:val="0058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2177">
      <w:bodyDiv w:val="1"/>
      <w:marLeft w:val="0"/>
      <w:marRight w:val="0"/>
      <w:marTop w:val="0"/>
      <w:marBottom w:val="0"/>
      <w:divBdr>
        <w:top w:val="none" w:sz="0" w:space="0" w:color="auto"/>
        <w:left w:val="none" w:sz="0" w:space="0" w:color="auto"/>
        <w:bottom w:val="none" w:sz="0" w:space="0" w:color="auto"/>
        <w:right w:val="none" w:sz="0" w:space="0" w:color="auto"/>
      </w:divBdr>
      <w:divsChild>
        <w:div w:id="748573619">
          <w:marLeft w:val="0"/>
          <w:marRight w:val="0"/>
          <w:marTop w:val="0"/>
          <w:marBottom w:val="0"/>
          <w:divBdr>
            <w:top w:val="none" w:sz="0" w:space="0" w:color="auto"/>
            <w:left w:val="none" w:sz="0" w:space="0" w:color="auto"/>
            <w:bottom w:val="none" w:sz="0" w:space="0" w:color="auto"/>
            <w:right w:val="none" w:sz="0" w:space="0" w:color="auto"/>
          </w:divBdr>
        </w:div>
        <w:div w:id="596790525">
          <w:marLeft w:val="0"/>
          <w:marRight w:val="0"/>
          <w:marTop w:val="0"/>
          <w:marBottom w:val="0"/>
          <w:divBdr>
            <w:top w:val="none" w:sz="0" w:space="0" w:color="auto"/>
            <w:left w:val="none" w:sz="0" w:space="0" w:color="auto"/>
            <w:bottom w:val="none" w:sz="0" w:space="0" w:color="auto"/>
            <w:right w:val="none" w:sz="0" w:space="0" w:color="auto"/>
          </w:divBdr>
        </w:div>
        <w:div w:id="314917796">
          <w:marLeft w:val="0"/>
          <w:marRight w:val="0"/>
          <w:marTop w:val="0"/>
          <w:marBottom w:val="0"/>
          <w:divBdr>
            <w:top w:val="none" w:sz="0" w:space="0" w:color="auto"/>
            <w:left w:val="none" w:sz="0" w:space="0" w:color="auto"/>
            <w:bottom w:val="none" w:sz="0" w:space="0" w:color="auto"/>
            <w:right w:val="none" w:sz="0" w:space="0" w:color="auto"/>
          </w:divBdr>
        </w:div>
      </w:divsChild>
    </w:div>
    <w:div w:id="472019497">
      <w:bodyDiv w:val="1"/>
      <w:marLeft w:val="0"/>
      <w:marRight w:val="0"/>
      <w:marTop w:val="0"/>
      <w:marBottom w:val="0"/>
      <w:divBdr>
        <w:top w:val="none" w:sz="0" w:space="0" w:color="auto"/>
        <w:left w:val="none" w:sz="0" w:space="0" w:color="auto"/>
        <w:bottom w:val="none" w:sz="0" w:space="0" w:color="auto"/>
        <w:right w:val="none" w:sz="0" w:space="0" w:color="auto"/>
      </w:divBdr>
      <w:divsChild>
        <w:div w:id="1850833405">
          <w:marLeft w:val="0"/>
          <w:marRight w:val="0"/>
          <w:marTop w:val="0"/>
          <w:marBottom w:val="0"/>
          <w:divBdr>
            <w:top w:val="none" w:sz="0" w:space="0" w:color="auto"/>
            <w:left w:val="none" w:sz="0" w:space="0" w:color="auto"/>
            <w:bottom w:val="none" w:sz="0" w:space="0" w:color="auto"/>
            <w:right w:val="none" w:sz="0" w:space="0" w:color="auto"/>
          </w:divBdr>
        </w:div>
      </w:divsChild>
    </w:div>
    <w:div w:id="1289435767">
      <w:bodyDiv w:val="1"/>
      <w:marLeft w:val="0"/>
      <w:marRight w:val="0"/>
      <w:marTop w:val="0"/>
      <w:marBottom w:val="0"/>
      <w:divBdr>
        <w:top w:val="none" w:sz="0" w:space="0" w:color="auto"/>
        <w:left w:val="none" w:sz="0" w:space="0" w:color="auto"/>
        <w:bottom w:val="none" w:sz="0" w:space="0" w:color="auto"/>
        <w:right w:val="none" w:sz="0" w:space="0" w:color="auto"/>
      </w:divBdr>
      <w:divsChild>
        <w:div w:id="429084837">
          <w:marLeft w:val="0"/>
          <w:marRight w:val="0"/>
          <w:marTop w:val="0"/>
          <w:marBottom w:val="0"/>
          <w:divBdr>
            <w:top w:val="none" w:sz="0" w:space="0" w:color="auto"/>
            <w:left w:val="none" w:sz="0" w:space="0" w:color="auto"/>
            <w:bottom w:val="none" w:sz="0" w:space="0" w:color="auto"/>
            <w:right w:val="none" w:sz="0" w:space="0" w:color="auto"/>
          </w:divBdr>
        </w:div>
        <w:div w:id="1719548384">
          <w:marLeft w:val="0"/>
          <w:marRight w:val="0"/>
          <w:marTop w:val="0"/>
          <w:marBottom w:val="0"/>
          <w:divBdr>
            <w:top w:val="none" w:sz="0" w:space="0" w:color="auto"/>
            <w:left w:val="none" w:sz="0" w:space="0" w:color="auto"/>
            <w:bottom w:val="none" w:sz="0" w:space="0" w:color="auto"/>
            <w:right w:val="none" w:sz="0" w:space="0" w:color="auto"/>
          </w:divBdr>
        </w:div>
      </w:divsChild>
    </w:div>
    <w:div w:id="1291396833">
      <w:bodyDiv w:val="1"/>
      <w:marLeft w:val="0"/>
      <w:marRight w:val="0"/>
      <w:marTop w:val="0"/>
      <w:marBottom w:val="0"/>
      <w:divBdr>
        <w:top w:val="none" w:sz="0" w:space="0" w:color="auto"/>
        <w:left w:val="none" w:sz="0" w:space="0" w:color="auto"/>
        <w:bottom w:val="none" w:sz="0" w:space="0" w:color="auto"/>
        <w:right w:val="none" w:sz="0" w:space="0" w:color="auto"/>
      </w:divBdr>
    </w:div>
    <w:div w:id="1571689686">
      <w:bodyDiv w:val="1"/>
      <w:marLeft w:val="0"/>
      <w:marRight w:val="0"/>
      <w:marTop w:val="0"/>
      <w:marBottom w:val="0"/>
      <w:divBdr>
        <w:top w:val="none" w:sz="0" w:space="0" w:color="auto"/>
        <w:left w:val="none" w:sz="0" w:space="0" w:color="auto"/>
        <w:bottom w:val="none" w:sz="0" w:space="0" w:color="auto"/>
        <w:right w:val="none" w:sz="0" w:space="0" w:color="auto"/>
      </w:divBdr>
      <w:divsChild>
        <w:div w:id="1444300597">
          <w:marLeft w:val="0"/>
          <w:marRight w:val="0"/>
          <w:marTop w:val="0"/>
          <w:marBottom w:val="0"/>
          <w:divBdr>
            <w:top w:val="none" w:sz="0" w:space="0" w:color="auto"/>
            <w:left w:val="none" w:sz="0" w:space="0" w:color="auto"/>
            <w:bottom w:val="none" w:sz="0" w:space="0" w:color="auto"/>
            <w:right w:val="none" w:sz="0" w:space="0" w:color="auto"/>
          </w:divBdr>
        </w:div>
      </w:divsChild>
    </w:div>
    <w:div w:id="1744403962">
      <w:bodyDiv w:val="1"/>
      <w:marLeft w:val="0"/>
      <w:marRight w:val="0"/>
      <w:marTop w:val="0"/>
      <w:marBottom w:val="0"/>
      <w:divBdr>
        <w:top w:val="none" w:sz="0" w:space="0" w:color="auto"/>
        <w:left w:val="none" w:sz="0" w:space="0" w:color="auto"/>
        <w:bottom w:val="none" w:sz="0" w:space="0" w:color="auto"/>
        <w:right w:val="none" w:sz="0" w:space="0" w:color="auto"/>
      </w:divBdr>
      <w:divsChild>
        <w:div w:id="184300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B31EEC757C64283B80C86B1E0CB2B" ma:contentTypeVersion="6" ma:contentTypeDescription="Create a new document." ma:contentTypeScope="" ma:versionID="3b8a0dad4d506c1d3575d69f7d1f3c81">
  <xsd:schema xmlns:xsd="http://www.w3.org/2001/XMLSchema" xmlns:xs="http://www.w3.org/2001/XMLSchema" xmlns:p="http://schemas.microsoft.com/office/2006/metadata/properties" xmlns:ns2="4b092690-c9a7-4ce0-882f-08b892d19ed7" xmlns:ns3="db8fa892-0506-420b-ad3b-677556b71d2e" targetNamespace="http://schemas.microsoft.com/office/2006/metadata/properties" ma:root="true" ma:fieldsID="d3d24d69c7c314e5f483f39154086dc1" ns2:_="" ns3:_="">
    <xsd:import namespace="4b092690-c9a7-4ce0-882f-08b892d19ed7"/>
    <xsd:import namespace="db8fa892-0506-420b-ad3b-677556b7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92690-c9a7-4ce0-882f-08b892d19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fa892-0506-420b-ad3b-677556b71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FE37-B137-4993-9EED-AD238DEB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92690-c9a7-4ce0-882f-08b892d19ed7"/>
    <ds:schemaRef ds:uri="db8fa892-0506-420b-ad3b-677556b7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E2A98-9384-4A4B-A565-69355E163F2E}">
  <ds:schemaRefs>
    <ds:schemaRef ds:uri="http://schemas.microsoft.com/sharepoint/v3/contenttype/forms"/>
  </ds:schemaRefs>
</ds:datastoreItem>
</file>

<file path=customXml/itemProps3.xml><?xml version="1.0" encoding="utf-8"?>
<ds:datastoreItem xmlns:ds="http://schemas.openxmlformats.org/officeDocument/2006/customXml" ds:itemID="{44C5A233-F6A3-4A60-ABF2-C2F4C7BFABF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092690-c9a7-4ce0-882f-08b892d19ed7"/>
    <ds:schemaRef ds:uri="db8fa892-0506-420b-ad3b-677556b71d2e"/>
    <ds:schemaRef ds:uri="http://www.w3.org/XML/1998/namespace"/>
  </ds:schemaRefs>
</ds:datastoreItem>
</file>

<file path=customXml/itemProps4.xml><?xml version="1.0" encoding="utf-8"?>
<ds:datastoreItem xmlns:ds="http://schemas.openxmlformats.org/officeDocument/2006/customXml" ds:itemID="{DFBA3B49-261F-FF4D-AE87-A096E10B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2358</Words>
  <Characters>13443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Heather</cp:lastModifiedBy>
  <cp:revision>2</cp:revision>
  <cp:lastPrinted>2019-07-15T15:09:00Z</cp:lastPrinted>
  <dcterms:created xsi:type="dcterms:W3CDTF">2020-09-24T20:46:00Z</dcterms:created>
  <dcterms:modified xsi:type="dcterms:W3CDTF">2020-09-24T20:46:00Z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0x01010000CB31EEC757C64283B80C86B1E0CB2B</vt:lpwstr>
  </property>
</Properties>
</file>