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180539F6" w:rsidR="00473DA4" w:rsidRDefault="00E03A5E" w:rsidP="43248D27">
      <w:pPr>
        <w:pStyle w:val="Title"/>
      </w:pPr>
      <w:bookmarkStart w:id="0" w:name="_GoBack"/>
      <w:bookmarkEnd w:id="0"/>
      <w:r>
        <w:t>RES</w:t>
      </w:r>
      <w:r w:rsidR="43248D27">
        <w:t xml:space="preserve"> Assessment Report, Summer 20</w:t>
      </w:r>
      <w:r w:rsidR="000970C3">
        <w:t>20</w:t>
      </w:r>
    </w:p>
    <w:p w14:paraId="26F3C85B" w14:textId="55ACA509" w:rsidR="00CF5881" w:rsidRDefault="00C9362F" w:rsidP="00DA403C">
      <w:pPr>
        <w:rPr>
          <w:sz w:val="24"/>
          <w:szCs w:val="24"/>
        </w:rPr>
      </w:pPr>
      <w:r w:rsidRPr="00211D0B">
        <w:rPr>
          <w:sz w:val="24"/>
          <w:szCs w:val="24"/>
        </w:rPr>
        <w:t xml:space="preserve">Prepared by </w:t>
      </w:r>
      <w:r w:rsidR="000970C3">
        <w:rPr>
          <w:sz w:val="24"/>
          <w:szCs w:val="24"/>
        </w:rPr>
        <w:t>Corinne Jarvis, CLAC C</w:t>
      </w:r>
      <w:r w:rsidRPr="00211D0B">
        <w:rPr>
          <w:sz w:val="24"/>
          <w:szCs w:val="24"/>
        </w:rPr>
        <w:t>hair</w:t>
      </w:r>
      <w:r w:rsidR="000970C3">
        <w:rPr>
          <w:sz w:val="24"/>
          <w:szCs w:val="24"/>
        </w:rPr>
        <w:t>;</w:t>
      </w:r>
      <w:r w:rsidRPr="00211D0B">
        <w:rPr>
          <w:sz w:val="24"/>
          <w:szCs w:val="24"/>
        </w:rPr>
        <w:t xml:space="preserve"> </w:t>
      </w:r>
      <w:r w:rsidR="000970C3" w:rsidRPr="00211D0B">
        <w:rPr>
          <w:sz w:val="24"/>
          <w:szCs w:val="24"/>
        </w:rPr>
        <w:t>Heather Gillanders</w:t>
      </w:r>
      <w:r w:rsidR="000970C3">
        <w:rPr>
          <w:sz w:val="24"/>
          <w:szCs w:val="24"/>
        </w:rPr>
        <w:t>;</w:t>
      </w:r>
      <w:r w:rsidR="000970C3" w:rsidRPr="00211D0B">
        <w:rPr>
          <w:sz w:val="24"/>
          <w:szCs w:val="24"/>
        </w:rPr>
        <w:t xml:space="preserve"> </w:t>
      </w:r>
      <w:r w:rsidR="000970C3">
        <w:rPr>
          <w:sz w:val="24"/>
          <w:szCs w:val="24"/>
        </w:rPr>
        <w:t xml:space="preserve">and </w:t>
      </w:r>
      <w:r w:rsidRPr="00211D0B">
        <w:rPr>
          <w:sz w:val="24"/>
          <w:szCs w:val="24"/>
        </w:rPr>
        <w:t>Amunoo Tembo</w:t>
      </w:r>
    </w:p>
    <w:p w14:paraId="3E7A9F1C" w14:textId="77777777" w:rsidR="00DA403C" w:rsidRDefault="00DA403C" w:rsidP="00C10969">
      <w:pPr>
        <w:pStyle w:val="Heading1"/>
      </w:pPr>
      <w:r>
        <w:t>Introduction</w:t>
      </w:r>
    </w:p>
    <w:p w14:paraId="52E666F8" w14:textId="1B135257" w:rsidR="002F32C0" w:rsidRPr="00211D0B" w:rsidRDefault="002F32C0" w:rsidP="00DA403C">
      <w:pPr>
        <w:rPr>
          <w:sz w:val="24"/>
          <w:szCs w:val="24"/>
        </w:rPr>
      </w:pPr>
      <w:r w:rsidRPr="00211D0B">
        <w:rPr>
          <w:sz w:val="24"/>
          <w:szCs w:val="24"/>
        </w:rPr>
        <w:t>In the 2016-17 academic year, TCC conducted a meta-assessment of all instructional assessment processes and procedures. In addition, TCC had its mid-cycle accreditation visit, which was focused on instructional assessment. One outcome of b</w:t>
      </w:r>
      <w:r w:rsidR="00377EBC" w:rsidRPr="00211D0B">
        <w:rPr>
          <w:sz w:val="24"/>
          <w:szCs w:val="24"/>
        </w:rPr>
        <w:t>oth</w:t>
      </w:r>
      <w:r w:rsidRPr="00211D0B">
        <w:rPr>
          <w:sz w:val="24"/>
          <w:szCs w:val="24"/>
        </w:rPr>
        <w:t xml:space="preserve"> was the revision of TCC’s degree learning outcomes (DLOs), which was led by the Student Learning Improvement Council (SLIC). </w:t>
      </w:r>
      <w:r w:rsidR="0091159C">
        <w:rPr>
          <w:sz w:val="24"/>
          <w:szCs w:val="24"/>
        </w:rPr>
        <w:t>T</w:t>
      </w:r>
      <w:r w:rsidR="00377EBC" w:rsidRPr="00211D0B">
        <w:rPr>
          <w:sz w:val="24"/>
          <w:szCs w:val="24"/>
        </w:rPr>
        <w:t>he mid-cycle accreditation team recommended a consistent</w:t>
      </w:r>
      <w:r w:rsidR="0091159C">
        <w:rPr>
          <w:sz w:val="24"/>
          <w:szCs w:val="24"/>
        </w:rPr>
        <w:t xml:space="preserve"> methodology for DLO assessment. I</w:t>
      </w:r>
      <w:r w:rsidR="00377EBC" w:rsidRPr="00211D0B">
        <w:rPr>
          <w:sz w:val="24"/>
          <w:szCs w:val="24"/>
        </w:rPr>
        <w:t>t was therefore decided to use rubrics to evaluate student work that measure</w:t>
      </w:r>
      <w:r w:rsidR="00DA0C84" w:rsidRPr="00211D0B">
        <w:rPr>
          <w:sz w:val="24"/>
          <w:szCs w:val="24"/>
        </w:rPr>
        <w:t>s</w:t>
      </w:r>
      <w:r w:rsidR="00377EBC" w:rsidRPr="00211D0B">
        <w:rPr>
          <w:sz w:val="24"/>
          <w:szCs w:val="24"/>
        </w:rPr>
        <w:t xml:space="preserve"> each DLO going forward, and for the SLIC committee to lead these efforts. </w:t>
      </w:r>
      <w:r w:rsidRPr="00211D0B">
        <w:rPr>
          <w:sz w:val="24"/>
          <w:szCs w:val="24"/>
        </w:rPr>
        <w:t xml:space="preserve">These changes were reviewed by Instructional Council (IC) and subsequently approved in February 2017. </w:t>
      </w:r>
    </w:p>
    <w:p w14:paraId="25D43756" w14:textId="046CA538" w:rsidR="00C10969" w:rsidRPr="00211D0B" w:rsidRDefault="7427F719" w:rsidP="7427F719">
      <w:pPr>
        <w:rPr>
          <w:sz w:val="24"/>
          <w:szCs w:val="24"/>
        </w:rPr>
      </w:pPr>
      <w:r w:rsidRPr="7427F719">
        <w:rPr>
          <w:sz w:val="24"/>
          <w:szCs w:val="24"/>
        </w:rPr>
        <w:t>The SLIC committee then changed its name to the College-wide Learning Assessment Committee (CLAC) and revised its mission statement to more accurately reflect its focus on leading DLO assessment. The revised</w:t>
      </w:r>
      <w:r w:rsidRPr="7427F719">
        <w:rPr>
          <w:color w:val="FF0000"/>
          <w:sz w:val="24"/>
          <w:szCs w:val="24"/>
        </w:rPr>
        <w:t xml:space="preserve"> </w:t>
      </w:r>
      <w:r w:rsidRPr="7427F719">
        <w:rPr>
          <w:sz w:val="24"/>
          <w:szCs w:val="24"/>
        </w:rPr>
        <w:t>mission statement reads:</w:t>
      </w:r>
    </w:p>
    <w:p w14:paraId="0AED3BD7" w14:textId="70C19759" w:rsidR="00377EBC" w:rsidRPr="00211D0B" w:rsidRDefault="00377EBC" w:rsidP="27C562CF">
      <w:pPr>
        <w:ind w:left="720"/>
        <w:rPr>
          <w:i/>
          <w:iCs/>
          <w:sz w:val="24"/>
          <w:szCs w:val="24"/>
        </w:rPr>
      </w:pPr>
      <w:r w:rsidRPr="27C562CF">
        <w:rPr>
          <w:i/>
          <w:iCs/>
          <w:sz w:val="24"/>
          <w:szCs w:val="24"/>
        </w:rPr>
        <w:t xml:space="preserve">Supporting Tacoma Community College’s </w:t>
      </w:r>
      <w:r w:rsidR="67CF3FDB" w:rsidRPr="27C562CF">
        <w:rPr>
          <w:i/>
          <w:iCs/>
          <w:sz w:val="24"/>
          <w:szCs w:val="24"/>
        </w:rPr>
        <w:t>c</w:t>
      </w:r>
      <w:r w:rsidRPr="27C562CF">
        <w:rPr>
          <w:i/>
          <w:iCs/>
          <w:sz w:val="24"/>
          <w:szCs w:val="24"/>
        </w:rPr>
        <w:t>ore theme</w:t>
      </w:r>
      <w:r w:rsidR="7E536A7E" w:rsidRPr="27C562CF">
        <w:rPr>
          <w:i/>
          <w:iCs/>
          <w:sz w:val="24"/>
          <w:szCs w:val="24"/>
        </w:rPr>
        <w:t xml:space="preserve">s </w:t>
      </w:r>
      <w:r w:rsidRPr="27C562CF">
        <w:rPr>
          <w:i/>
          <w:iCs/>
          <w:sz w:val="24"/>
          <w:szCs w:val="24"/>
        </w:rPr>
        <w:t>through the planning and coordination of institution-wide assessment, including but not limited to student achievement of degree learning outcomes.</w:t>
      </w:r>
    </w:p>
    <w:p w14:paraId="63C84915" w14:textId="77777777" w:rsidR="003F7470" w:rsidRDefault="00D97440" w:rsidP="003F7470">
      <w:pPr>
        <w:rPr>
          <w:b/>
          <w:bCs/>
          <w:sz w:val="24"/>
          <w:szCs w:val="24"/>
        </w:rPr>
      </w:pPr>
      <w:r w:rsidRPr="00E2067C">
        <w:rPr>
          <w:sz w:val="24"/>
          <w:szCs w:val="24"/>
        </w:rPr>
        <w:t xml:space="preserve">This report is for the </w:t>
      </w:r>
      <w:r w:rsidR="003F7470" w:rsidRPr="003F7470">
        <w:rPr>
          <w:b/>
          <w:bCs/>
          <w:sz w:val="24"/>
          <w:szCs w:val="24"/>
        </w:rPr>
        <w:t>Responsibility &amp; Ethics (RES)</w:t>
      </w:r>
      <w:r w:rsidR="003F7470">
        <w:rPr>
          <w:b/>
          <w:bCs/>
          <w:sz w:val="24"/>
          <w:szCs w:val="24"/>
        </w:rPr>
        <w:t xml:space="preserve"> DLO, which reads</w:t>
      </w:r>
      <w:r w:rsidR="003F7470" w:rsidRPr="003F7470">
        <w:rPr>
          <w:b/>
          <w:bCs/>
          <w:sz w:val="24"/>
          <w:szCs w:val="24"/>
        </w:rPr>
        <w:t xml:space="preserve">: </w:t>
      </w:r>
    </w:p>
    <w:p w14:paraId="7EAC4D37" w14:textId="77777777" w:rsidR="003F7470" w:rsidRPr="00EC5DF8" w:rsidRDefault="003F7470" w:rsidP="00EC5DF8">
      <w:pPr>
        <w:ind w:left="720"/>
        <w:rPr>
          <w:bCs/>
          <w:i/>
          <w:sz w:val="24"/>
          <w:szCs w:val="24"/>
        </w:rPr>
      </w:pPr>
      <w:r w:rsidRPr="00EC5DF8">
        <w:rPr>
          <w:bCs/>
          <w:i/>
          <w:sz w:val="24"/>
          <w:szCs w:val="24"/>
        </w:rPr>
        <w:t xml:space="preserve">Demonstrate an understanding of what constitutes responsible and ethical behavior toward individuals, the community, and the environment. </w:t>
      </w:r>
    </w:p>
    <w:p w14:paraId="1E476871" w14:textId="022F238C" w:rsidR="003F7470" w:rsidRPr="003F7470" w:rsidRDefault="003F7470" w:rsidP="003F7470">
      <w:pPr>
        <w:rPr>
          <w:sz w:val="24"/>
          <w:szCs w:val="24"/>
        </w:rPr>
      </w:pPr>
      <w:r w:rsidRPr="003F7470">
        <w:rPr>
          <w:sz w:val="24"/>
          <w:szCs w:val="24"/>
        </w:rPr>
        <w:t>The verbiage of this particular DLO was not revised during meta-assessment. It was last assessed in 201</w:t>
      </w:r>
      <w:r>
        <w:rPr>
          <w:sz w:val="24"/>
          <w:szCs w:val="24"/>
        </w:rPr>
        <w:t>4</w:t>
      </w:r>
      <w:r w:rsidRPr="003F7470">
        <w:rPr>
          <w:sz w:val="24"/>
          <w:szCs w:val="24"/>
        </w:rPr>
        <w:t>-1</w:t>
      </w:r>
      <w:r>
        <w:rPr>
          <w:sz w:val="24"/>
          <w:szCs w:val="24"/>
        </w:rPr>
        <w:t>5</w:t>
      </w:r>
      <w:r w:rsidR="0005015D">
        <w:rPr>
          <w:sz w:val="24"/>
          <w:szCs w:val="24"/>
        </w:rPr>
        <w:t>,</w:t>
      </w:r>
      <w:r w:rsidRPr="003F7470">
        <w:rPr>
          <w:sz w:val="24"/>
          <w:szCs w:val="24"/>
        </w:rPr>
        <w:t xml:space="preserve"> </w:t>
      </w:r>
      <w:r>
        <w:rPr>
          <w:sz w:val="24"/>
          <w:szCs w:val="24"/>
        </w:rPr>
        <w:t>using a student survey approach.</w:t>
      </w:r>
    </w:p>
    <w:p w14:paraId="206DFFD0" w14:textId="77777777" w:rsidR="00DA403C" w:rsidRDefault="00DA403C" w:rsidP="00C26736">
      <w:pPr>
        <w:pStyle w:val="Heading1"/>
      </w:pPr>
      <w:r>
        <w:t>Method</w:t>
      </w:r>
    </w:p>
    <w:p w14:paraId="4435A38A" w14:textId="660A1699" w:rsidR="00C041FD" w:rsidRPr="00211D0B" w:rsidRDefault="00C041FD" w:rsidP="00C041FD">
      <w:pPr>
        <w:rPr>
          <w:sz w:val="24"/>
          <w:szCs w:val="24"/>
        </w:rPr>
      </w:pPr>
      <w:r>
        <w:rPr>
          <w:sz w:val="24"/>
          <w:szCs w:val="24"/>
        </w:rPr>
        <w:t>In the 2017/18 academic year, the CLAC committee led the process of developing rubrics to evaluate student work for DLO assessment. With permission, a</w:t>
      </w:r>
      <w:r w:rsidRPr="7CC322CA">
        <w:rPr>
          <w:sz w:val="24"/>
          <w:szCs w:val="24"/>
        </w:rPr>
        <w:t xml:space="preserve"> South Seattle College</w:t>
      </w:r>
      <w:r>
        <w:rPr>
          <w:sz w:val="24"/>
          <w:szCs w:val="24"/>
        </w:rPr>
        <w:t xml:space="preserve"> rubric</w:t>
      </w:r>
      <w:r w:rsidRPr="7CC322CA">
        <w:rPr>
          <w:sz w:val="24"/>
          <w:szCs w:val="24"/>
        </w:rPr>
        <w:t xml:space="preserve"> </w:t>
      </w:r>
      <w:r>
        <w:rPr>
          <w:sz w:val="24"/>
          <w:szCs w:val="24"/>
        </w:rPr>
        <w:t>was adapted</w:t>
      </w:r>
      <w:r w:rsidRPr="7CC322CA">
        <w:rPr>
          <w:sz w:val="24"/>
          <w:szCs w:val="24"/>
        </w:rPr>
        <w:t xml:space="preserve"> to fit the language of Tacoma Community College’s </w:t>
      </w:r>
      <w:r>
        <w:rPr>
          <w:sz w:val="24"/>
          <w:szCs w:val="24"/>
        </w:rPr>
        <w:t>RES</w:t>
      </w:r>
      <w:r w:rsidRPr="7CC322CA">
        <w:rPr>
          <w:sz w:val="24"/>
          <w:szCs w:val="24"/>
        </w:rPr>
        <w:t xml:space="preserve"> DLO</w:t>
      </w:r>
      <w:r>
        <w:rPr>
          <w:sz w:val="24"/>
          <w:szCs w:val="24"/>
        </w:rPr>
        <w:t xml:space="preserve">. </w:t>
      </w:r>
      <w:r w:rsidRPr="7CC322CA">
        <w:rPr>
          <w:sz w:val="24"/>
          <w:szCs w:val="24"/>
        </w:rPr>
        <w:t>Members of the CLAC committee created the first draft, solicited feedback from faculty</w:t>
      </w:r>
      <w:r>
        <w:rPr>
          <w:sz w:val="24"/>
          <w:szCs w:val="24"/>
        </w:rPr>
        <w:t xml:space="preserve">, </w:t>
      </w:r>
      <w:r w:rsidRPr="7CC322CA">
        <w:rPr>
          <w:sz w:val="24"/>
          <w:szCs w:val="24"/>
        </w:rPr>
        <w:t>and revised the rubric based on faculty fee</w:t>
      </w:r>
      <w:r w:rsidR="00105A52">
        <w:rPr>
          <w:sz w:val="24"/>
          <w:szCs w:val="24"/>
        </w:rPr>
        <w:t>dback to create the final draft.</w:t>
      </w:r>
    </w:p>
    <w:p w14:paraId="6629AB1E" w14:textId="5C3B6BAA" w:rsidR="00C10969" w:rsidRPr="00211D0B" w:rsidRDefault="00C10969" w:rsidP="00C041FD">
      <w:pPr>
        <w:rPr>
          <w:sz w:val="24"/>
          <w:szCs w:val="24"/>
        </w:rPr>
      </w:pPr>
    </w:p>
    <w:p w14:paraId="0A37501D" w14:textId="6093CA83" w:rsidR="00701B35" w:rsidRDefault="1ADDF5F5" w:rsidP="2CF85C2D">
      <w:pPr>
        <w:ind w:left="-180"/>
      </w:pPr>
      <w:r>
        <w:rPr>
          <w:noProof/>
        </w:rPr>
        <w:lastRenderedPageBreak/>
        <w:drawing>
          <wp:inline distT="0" distB="0" distL="0" distR="0" wp14:anchorId="70DB68E0" wp14:editId="2CF85C2D">
            <wp:extent cx="6858000" cy="3275965"/>
            <wp:effectExtent l="177800" t="177800" r="381000" b="381635"/>
            <wp:docPr id="1543304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858000" cy="3275965"/>
                    </a:xfrm>
                    <a:prstGeom prst="rect">
                      <a:avLst/>
                    </a:prstGeom>
                    <a:ln>
                      <a:noFill/>
                    </a:ln>
                    <a:effectLst>
                      <a:outerShdw blurRad="292100" dist="139700" dir="2700000" algn="tl" rotWithShape="0">
                        <a:srgbClr val="333333">
                          <a:alpha val="65000"/>
                        </a:srgbClr>
                      </a:outerShdw>
                    </a:effectLst>
                  </pic:spPr>
                </pic:pic>
              </a:graphicData>
            </a:graphic>
          </wp:inline>
        </w:drawing>
      </w:r>
    </w:p>
    <w:p w14:paraId="372C29AB" w14:textId="6079FD02" w:rsidR="00C041FD" w:rsidRDefault="00C041FD" w:rsidP="00C041FD">
      <w:pPr>
        <w:rPr>
          <w:sz w:val="24"/>
          <w:szCs w:val="24"/>
        </w:rPr>
      </w:pPr>
      <w:r>
        <w:rPr>
          <w:sz w:val="24"/>
          <w:szCs w:val="24"/>
        </w:rPr>
        <w:t xml:space="preserve">The CLAC committee began collecting student work for the Responsibility </w:t>
      </w:r>
      <w:r w:rsidR="00105A52">
        <w:rPr>
          <w:sz w:val="24"/>
          <w:szCs w:val="24"/>
        </w:rPr>
        <w:t xml:space="preserve">&amp; Ethics </w:t>
      </w:r>
      <w:r>
        <w:rPr>
          <w:sz w:val="24"/>
          <w:szCs w:val="24"/>
        </w:rPr>
        <w:t xml:space="preserve">DLO in winter quarter of 2019 and continued through fall quarter. The collection process began with an all-faculty email requesting assignments that aligned with the RES DLO to be submitted by completing a short survey. The survey collected pertinent information such as instructor name, course information, assignment name, instructions, and due date. </w:t>
      </w:r>
    </w:p>
    <w:p w14:paraId="344753A6" w14:textId="3DF9C6C5" w:rsidR="00C041FD" w:rsidRPr="00211D0B" w:rsidRDefault="00C041FD" w:rsidP="00C041FD">
      <w:pPr>
        <w:rPr>
          <w:sz w:val="24"/>
          <w:szCs w:val="24"/>
        </w:rPr>
      </w:pPr>
      <w:r w:rsidRPr="00211D0B">
        <w:rPr>
          <w:sz w:val="24"/>
          <w:szCs w:val="24"/>
        </w:rPr>
        <w:t xml:space="preserve">In collaboration with e-Learning, a Canvas shell for the </w:t>
      </w:r>
      <w:r>
        <w:rPr>
          <w:sz w:val="24"/>
          <w:szCs w:val="24"/>
        </w:rPr>
        <w:t xml:space="preserve">RES </w:t>
      </w:r>
      <w:r w:rsidRPr="00211D0B">
        <w:rPr>
          <w:sz w:val="24"/>
          <w:szCs w:val="24"/>
        </w:rPr>
        <w:t xml:space="preserve">DLO was created and all artifacts were uploaded to the shell to be scored using the </w:t>
      </w:r>
      <w:r>
        <w:rPr>
          <w:sz w:val="24"/>
          <w:szCs w:val="24"/>
        </w:rPr>
        <w:t xml:space="preserve">RES </w:t>
      </w:r>
      <w:r w:rsidRPr="00211D0B">
        <w:rPr>
          <w:sz w:val="24"/>
          <w:szCs w:val="24"/>
        </w:rPr>
        <w:t>rubric and to act as a repository of student work for potential future assessment projects. As much as possible, artifacts were anonymized, removing student names and ID numbers. Only those faculty scoring artifacts, CLAC members, and e-Learning have access to these Canvas shells.</w:t>
      </w:r>
    </w:p>
    <w:p w14:paraId="2F60C892" w14:textId="1C78C03D" w:rsidR="00C041FD" w:rsidRDefault="00C041FD" w:rsidP="00C041FD">
      <w:pPr>
        <w:rPr>
          <w:sz w:val="24"/>
          <w:szCs w:val="24"/>
        </w:rPr>
      </w:pPr>
      <w:r>
        <w:rPr>
          <w:sz w:val="24"/>
          <w:szCs w:val="24"/>
        </w:rPr>
        <w:t xml:space="preserve">Twelve assignments were submitted for RES assessment representing </w:t>
      </w:r>
      <w:r w:rsidR="00105A52">
        <w:rPr>
          <w:sz w:val="24"/>
          <w:szCs w:val="24"/>
        </w:rPr>
        <w:t>three divisions (</w:t>
      </w:r>
      <w:r w:rsidRPr="000254B7">
        <w:rPr>
          <w:sz w:val="24"/>
          <w:szCs w:val="24"/>
        </w:rPr>
        <w:t>Health, Business, and Professional Services, Math, Science, and Engineering; and Written and Oral Communications).</w:t>
      </w:r>
      <w:r>
        <w:rPr>
          <w:sz w:val="24"/>
          <w:szCs w:val="24"/>
        </w:rPr>
        <w:t xml:space="preserve"> The assignment submissions resulted in 276 individual artifacts submitted for scoring.</w:t>
      </w:r>
    </w:p>
    <w:p w14:paraId="7F84B7F8" w14:textId="77777777" w:rsidR="000254B7" w:rsidRDefault="00C041FD" w:rsidP="00C041FD">
      <w:pPr>
        <w:rPr>
          <w:sz w:val="24"/>
          <w:szCs w:val="24"/>
        </w:rPr>
      </w:pPr>
      <w:r>
        <w:rPr>
          <w:sz w:val="24"/>
          <w:szCs w:val="24"/>
        </w:rPr>
        <w:t>In winter quarter 2020, the CLAC committee invited faculty from across campus to participate in the scoring process. Eight f</w:t>
      </w:r>
      <w:r w:rsidRPr="7427F719">
        <w:rPr>
          <w:sz w:val="24"/>
          <w:szCs w:val="24"/>
        </w:rPr>
        <w:t xml:space="preserve">aculty </w:t>
      </w:r>
      <w:r>
        <w:rPr>
          <w:sz w:val="24"/>
          <w:szCs w:val="24"/>
        </w:rPr>
        <w:t>from</w:t>
      </w:r>
      <w:r w:rsidRPr="005E24DF">
        <w:rPr>
          <w:sz w:val="24"/>
          <w:szCs w:val="24"/>
        </w:rPr>
        <w:t xml:space="preserve"> four</w:t>
      </w:r>
      <w:r>
        <w:rPr>
          <w:sz w:val="24"/>
          <w:szCs w:val="24"/>
        </w:rPr>
        <w:t xml:space="preserve"> campus divisions volunteered to</w:t>
      </w:r>
      <w:r w:rsidRPr="005E24DF">
        <w:rPr>
          <w:sz w:val="24"/>
          <w:szCs w:val="24"/>
        </w:rPr>
        <w:t xml:space="preserve"> </w:t>
      </w:r>
      <w:r w:rsidRPr="7427F719">
        <w:rPr>
          <w:sz w:val="24"/>
          <w:szCs w:val="24"/>
        </w:rPr>
        <w:t xml:space="preserve">score </w:t>
      </w:r>
      <w:r>
        <w:rPr>
          <w:sz w:val="24"/>
          <w:szCs w:val="24"/>
        </w:rPr>
        <w:t xml:space="preserve">the </w:t>
      </w:r>
      <w:r w:rsidRPr="7427F719">
        <w:rPr>
          <w:sz w:val="24"/>
          <w:szCs w:val="24"/>
        </w:rPr>
        <w:t>student artifacts</w:t>
      </w:r>
      <w:r>
        <w:rPr>
          <w:sz w:val="24"/>
          <w:szCs w:val="24"/>
        </w:rPr>
        <w:t>. Scoring was completed during spring quarter 2020</w:t>
      </w:r>
      <w:r w:rsidRPr="7427F719">
        <w:rPr>
          <w:sz w:val="24"/>
          <w:szCs w:val="24"/>
        </w:rPr>
        <w:t xml:space="preserve"> using </w:t>
      </w:r>
      <w:r w:rsidR="000254B7">
        <w:rPr>
          <w:sz w:val="24"/>
          <w:szCs w:val="24"/>
        </w:rPr>
        <w:t xml:space="preserve">the RES rubric. </w:t>
      </w:r>
    </w:p>
    <w:p w14:paraId="7880F7C9" w14:textId="186805A8" w:rsidR="00C041FD" w:rsidRPr="00211D0B" w:rsidRDefault="00C041FD" w:rsidP="00C041FD">
      <w:pPr>
        <w:rPr>
          <w:sz w:val="24"/>
          <w:szCs w:val="24"/>
        </w:rPr>
      </w:pPr>
      <w:r w:rsidRPr="000254B7">
        <w:rPr>
          <w:sz w:val="24"/>
          <w:szCs w:val="24"/>
        </w:rPr>
        <w:t xml:space="preserve">Of the </w:t>
      </w:r>
      <w:r w:rsidR="000254B7" w:rsidRPr="000254B7">
        <w:rPr>
          <w:sz w:val="24"/>
          <w:szCs w:val="24"/>
        </w:rPr>
        <w:t xml:space="preserve">276 </w:t>
      </w:r>
      <w:r w:rsidRPr="000254B7">
        <w:rPr>
          <w:sz w:val="24"/>
          <w:szCs w:val="24"/>
        </w:rPr>
        <w:t xml:space="preserve">individual student artifacts, </w:t>
      </w:r>
      <w:r w:rsidR="00036309">
        <w:rPr>
          <w:sz w:val="24"/>
          <w:szCs w:val="24"/>
        </w:rPr>
        <w:t>2</w:t>
      </w:r>
      <w:r w:rsidR="000254B7" w:rsidRPr="000254B7">
        <w:rPr>
          <w:sz w:val="24"/>
          <w:szCs w:val="24"/>
        </w:rPr>
        <w:t>1</w:t>
      </w:r>
      <w:r w:rsidR="00036309">
        <w:rPr>
          <w:sz w:val="24"/>
          <w:szCs w:val="24"/>
        </w:rPr>
        <w:t>7</w:t>
      </w:r>
      <w:r w:rsidRPr="000254B7">
        <w:rPr>
          <w:sz w:val="24"/>
          <w:szCs w:val="24"/>
        </w:rPr>
        <w:t xml:space="preserve"> individual artifac</w:t>
      </w:r>
      <w:r w:rsidR="000254B7" w:rsidRPr="000254B7">
        <w:rPr>
          <w:sz w:val="24"/>
          <w:szCs w:val="24"/>
        </w:rPr>
        <w:t>ts were scored, approximately 79</w:t>
      </w:r>
      <w:r w:rsidRPr="000254B7">
        <w:rPr>
          <w:sz w:val="24"/>
          <w:szCs w:val="24"/>
        </w:rPr>
        <w:t xml:space="preserve">% of the total. </w:t>
      </w:r>
    </w:p>
    <w:p w14:paraId="06AEC6D2" w14:textId="77777777" w:rsidR="00C041FD" w:rsidRDefault="00C041FD" w:rsidP="00C041FD">
      <w:pPr>
        <w:rPr>
          <w:sz w:val="24"/>
          <w:szCs w:val="24"/>
        </w:rPr>
      </w:pPr>
      <w:r>
        <w:rPr>
          <w:sz w:val="24"/>
          <w:szCs w:val="24"/>
        </w:rPr>
        <w:t xml:space="preserve">All of the faculty who scored </w:t>
      </w:r>
      <w:r w:rsidRPr="00211D0B">
        <w:rPr>
          <w:sz w:val="24"/>
          <w:szCs w:val="24"/>
        </w:rPr>
        <w:t>artifacts participated in a norming session prior to receiving their assignments to ensure that the criteria was clear and that all were applying the rubric in roughly the same way. Scores for each criterion for every artifact were transferred into an Excel spreadsheet and analyzed.</w:t>
      </w:r>
    </w:p>
    <w:p w14:paraId="36704A0D" w14:textId="04C00279" w:rsidR="009F780E" w:rsidRDefault="00DA403C" w:rsidP="00C46B9C">
      <w:pPr>
        <w:pStyle w:val="Heading1"/>
      </w:pPr>
      <w:r>
        <w:lastRenderedPageBreak/>
        <w:t>Results</w:t>
      </w:r>
    </w:p>
    <w:p w14:paraId="552B7EDF" w14:textId="4CCEF182" w:rsidR="00CA36F6" w:rsidRPr="00CA36F6" w:rsidRDefault="00CA36F6" w:rsidP="00CA36F6">
      <w:pPr>
        <w:pStyle w:val="Heading2"/>
      </w:pPr>
      <w:r>
        <w:t>All Data</w:t>
      </w:r>
    </w:p>
    <w:p w14:paraId="1E0CAD30" w14:textId="3C6A8EE1" w:rsidR="009F780E" w:rsidRPr="00211D0B" w:rsidRDefault="4F4792F3" w:rsidP="00DA403C">
      <w:pPr>
        <w:rPr>
          <w:sz w:val="24"/>
          <w:szCs w:val="24"/>
        </w:rPr>
      </w:pPr>
      <w:r w:rsidRPr="00211D0B">
        <w:rPr>
          <w:sz w:val="24"/>
          <w:szCs w:val="24"/>
        </w:rPr>
        <w:t>On a scale of 1 to 4, where 1 is the lowest and 4 the high</w:t>
      </w:r>
      <w:r w:rsidR="00036309">
        <w:rPr>
          <w:sz w:val="24"/>
          <w:szCs w:val="24"/>
        </w:rPr>
        <w:t>est, the average score for all criteria</w:t>
      </w:r>
      <w:r w:rsidRPr="00211D0B">
        <w:rPr>
          <w:sz w:val="24"/>
          <w:szCs w:val="24"/>
        </w:rPr>
        <w:t xml:space="preserve"> was </w:t>
      </w:r>
      <w:r w:rsidRPr="00C041FD">
        <w:rPr>
          <w:sz w:val="24"/>
          <w:szCs w:val="24"/>
        </w:rPr>
        <w:t>3.</w:t>
      </w:r>
      <w:r w:rsidR="00C041FD" w:rsidRPr="00C041FD">
        <w:rPr>
          <w:sz w:val="24"/>
          <w:szCs w:val="24"/>
        </w:rPr>
        <w:t>11</w:t>
      </w:r>
      <w:r w:rsidRPr="00C041FD">
        <w:rPr>
          <w:sz w:val="24"/>
          <w:szCs w:val="24"/>
        </w:rPr>
        <w:t xml:space="preserve">, which places students between the competent and accomplished levels. The highest </w:t>
      </w:r>
      <w:r w:rsidR="00FD6D00" w:rsidRPr="00C041FD">
        <w:rPr>
          <w:sz w:val="24"/>
          <w:szCs w:val="24"/>
        </w:rPr>
        <w:t xml:space="preserve">average </w:t>
      </w:r>
      <w:r w:rsidRPr="00C041FD">
        <w:rPr>
          <w:sz w:val="24"/>
          <w:szCs w:val="24"/>
        </w:rPr>
        <w:t xml:space="preserve">score was for the </w:t>
      </w:r>
      <w:r w:rsidR="00C041FD" w:rsidRPr="00C041FD">
        <w:rPr>
          <w:sz w:val="24"/>
          <w:szCs w:val="24"/>
        </w:rPr>
        <w:t>Citizenship</w:t>
      </w:r>
      <w:r w:rsidRPr="00C041FD">
        <w:rPr>
          <w:sz w:val="24"/>
          <w:szCs w:val="24"/>
        </w:rPr>
        <w:t xml:space="preserve"> criterion at 3.</w:t>
      </w:r>
      <w:r w:rsidR="00C041FD" w:rsidRPr="00C041FD">
        <w:rPr>
          <w:sz w:val="24"/>
          <w:szCs w:val="24"/>
        </w:rPr>
        <w:t>4</w:t>
      </w:r>
      <w:r w:rsidR="004D6E87" w:rsidRPr="00C041FD">
        <w:rPr>
          <w:sz w:val="24"/>
          <w:szCs w:val="24"/>
        </w:rPr>
        <w:t>1</w:t>
      </w:r>
      <w:r w:rsidRPr="00C041FD">
        <w:rPr>
          <w:sz w:val="24"/>
          <w:szCs w:val="24"/>
        </w:rPr>
        <w:t xml:space="preserve">, followed by </w:t>
      </w:r>
      <w:r w:rsidR="00C041FD" w:rsidRPr="00C041FD">
        <w:rPr>
          <w:sz w:val="24"/>
          <w:szCs w:val="24"/>
        </w:rPr>
        <w:t>Academic Integrity at 3.13</w:t>
      </w:r>
      <w:r w:rsidRPr="00C041FD">
        <w:rPr>
          <w:sz w:val="24"/>
          <w:szCs w:val="24"/>
        </w:rPr>
        <w:t xml:space="preserve">, then </w:t>
      </w:r>
      <w:r w:rsidR="00C041FD" w:rsidRPr="00C041FD">
        <w:rPr>
          <w:sz w:val="24"/>
          <w:szCs w:val="24"/>
        </w:rPr>
        <w:t>Environmental Responsibility</w:t>
      </w:r>
      <w:r w:rsidRPr="00C041FD">
        <w:rPr>
          <w:sz w:val="24"/>
          <w:szCs w:val="24"/>
        </w:rPr>
        <w:t xml:space="preserve"> at </w:t>
      </w:r>
      <w:r w:rsidR="00C041FD" w:rsidRPr="00C041FD">
        <w:rPr>
          <w:sz w:val="24"/>
          <w:szCs w:val="24"/>
        </w:rPr>
        <w:t>2</w:t>
      </w:r>
      <w:r w:rsidRPr="00C041FD">
        <w:rPr>
          <w:sz w:val="24"/>
          <w:szCs w:val="24"/>
        </w:rPr>
        <w:t>.</w:t>
      </w:r>
      <w:r w:rsidR="00C041FD" w:rsidRPr="00C041FD">
        <w:rPr>
          <w:sz w:val="24"/>
          <w:szCs w:val="24"/>
        </w:rPr>
        <w:t>8</w:t>
      </w:r>
      <w:r w:rsidR="004D6E87" w:rsidRPr="00C041FD">
        <w:rPr>
          <w:sz w:val="24"/>
          <w:szCs w:val="24"/>
        </w:rPr>
        <w:t>0</w:t>
      </w:r>
      <w:r w:rsidR="00C041FD" w:rsidRPr="00C041FD">
        <w:rPr>
          <w:sz w:val="24"/>
          <w:szCs w:val="24"/>
        </w:rPr>
        <w:t>.</w:t>
      </w:r>
    </w:p>
    <w:p w14:paraId="30943762" w14:textId="1118BC18" w:rsidR="00C041FD" w:rsidRDefault="00C041FD" w:rsidP="00DB745B">
      <w:pPr>
        <w:pStyle w:val="Heading2"/>
      </w:pPr>
      <w:r>
        <w:rPr>
          <w:noProof/>
        </w:rPr>
        <w:drawing>
          <wp:inline distT="0" distB="0" distL="0" distR="0" wp14:anchorId="648E39C7" wp14:editId="40142548">
            <wp:extent cx="6553198" cy="4957982"/>
            <wp:effectExtent l="0" t="0" r="0" b="0"/>
            <wp:docPr id="6672473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553198" cy="4957982"/>
                    </a:xfrm>
                    <a:prstGeom prst="rect">
                      <a:avLst/>
                    </a:prstGeom>
                  </pic:spPr>
                </pic:pic>
              </a:graphicData>
            </a:graphic>
          </wp:inline>
        </w:drawing>
      </w:r>
    </w:p>
    <w:p w14:paraId="20D6DE1C" w14:textId="12B76E3E" w:rsidR="00C041FD" w:rsidRDefault="00C041FD" w:rsidP="00DB745B">
      <w:pPr>
        <w:pStyle w:val="Heading2"/>
      </w:pPr>
    </w:p>
    <w:p w14:paraId="220D0157" w14:textId="061DC3B2" w:rsidR="00CA36F6" w:rsidRDefault="00CA36F6" w:rsidP="00CA36F6"/>
    <w:p w14:paraId="3EE94261" w14:textId="0AA80071" w:rsidR="00CA36F6" w:rsidRDefault="00CA36F6" w:rsidP="00CA36F6"/>
    <w:p w14:paraId="6A25A54C" w14:textId="7B183B85" w:rsidR="00CA36F6" w:rsidRDefault="00CA36F6" w:rsidP="00CA36F6"/>
    <w:p w14:paraId="6BB05D24" w14:textId="1044E58C" w:rsidR="00CA36F6" w:rsidRDefault="00CA36F6" w:rsidP="00CA36F6"/>
    <w:p w14:paraId="3E26D6A5" w14:textId="35BFF85E" w:rsidR="00CA36F6" w:rsidRDefault="00CA36F6" w:rsidP="00CA36F6"/>
    <w:p w14:paraId="20A7F5EF" w14:textId="017A29C7" w:rsidR="00CA36F6" w:rsidRDefault="00CA36F6" w:rsidP="00CA36F6"/>
    <w:p w14:paraId="46A17ABA" w14:textId="17CC137B" w:rsidR="00CA36F6" w:rsidRDefault="00CA36F6" w:rsidP="00CA36F6"/>
    <w:p w14:paraId="0B141DD8" w14:textId="77777777" w:rsidR="00CA36F6" w:rsidRPr="00CA36F6" w:rsidRDefault="00CA36F6" w:rsidP="00CA36F6"/>
    <w:p w14:paraId="456051C2" w14:textId="4DA4F81B" w:rsidR="00A80BD8" w:rsidRDefault="43248D27" w:rsidP="00DB745B">
      <w:pPr>
        <w:pStyle w:val="Heading2"/>
      </w:pPr>
      <w:r>
        <w:lastRenderedPageBreak/>
        <w:t>100-</w:t>
      </w:r>
      <w:r w:rsidR="00CA36F6">
        <w:t>L</w:t>
      </w:r>
      <w:r>
        <w:t>ev</w:t>
      </w:r>
      <w:r w:rsidR="00CA36F6">
        <w:t>el:</w:t>
      </w:r>
    </w:p>
    <w:p w14:paraId="57DD34AC" w14:textId="5EF8172B" w:rsidR="43248D27" w:rsidRDefault="7CC322CA" w:rsidP="7CC322CA">
      <w:pPr>
        <w:rPr>
          <w:sz w:val="24"/>
          <w:szCs w:val="24"/>
        </w:rPr>
      </w:pPr>
      <w:r w:rsidRPr="00CA36F6">
        <w:rPr>
          <w:sz w:val="24"/>
          <w:szCs w:val="24"/>
        </w:rPr>
        <w:t xml:space="preserve">A total of </w:t>
      </w:r>
      <w:r w:rsidR="00CA36F6" w:rsidRPr="00CA36F6">
        <w:rPr>
          <w:sz w:val="24"/>
          <w:szCs w:val="24"/>
        </w:rPr>
        <w:t>150</w:t>
      </w:r>
      <w:r w:rsidRPr="00CA36F6">
        <w:rPr>
          <w:sz w:val="24"/>
          <w:szCs w:val="24"/>
        </w:rPr>
        <w:t xml:space="preserve"> artifacts from 100-level classes were included in the sample. The average for all criteria for </w:t>
      </w:r>
      <w:r w:rsidR="0018208C">
        <w:rPr>
          <w:sz w:val="24"/>
          <w:szCs w:val="24"/>
        </w:rPr>
        <w:t>these artifacts is 3.08,</w:t>
      </w:r>
      <w:r w:rsidR="00CA36F6" w:rsidRPr="00CA36F6">
        <w:rPr>
          <w:sz w:val="24"/>
          <w:szCs w:val="24"/>
        </w:rPr>
        <w:t xml:space="preserve"> slightly</w:t>
      </w:r>
      <w:r w:rsidRPr="00CA36F6">
        <w:rPr>
          <w:sz w:val="24"/>
          <w:szCs w:val="24"/>
        </w:rPr>
        <w:t xml:space="preserve"> lower than it is when all artifacts are combined</w:t>
      </w:r>
      <w:r w:rsidR="0018208C">
        <w:rPr>
          <w:sz w:val="24"/>
          <w:szCs w:val="24"/>
        </w:rPr>
        <w:t xml:space="preserve">. </w:t>
      </w:r>
      <w:r w:rsidRPr="00CA36F6">
        <w:rPr>
          <w:sz w:val="24"/>
          <w:szCs w:val="24"/>
        </w:rPr>
        <w:t xml:space="preserve">The highest average score </w:t>
      </w:r>
      <w:r w:rsidR="00CA36F6" w:rsidRPr="00CA36F6">
        <w:rPr>
          <w:sz w:val="24"/>
          <w:szCs w:val="24"/>
        </w:rPr>
        <w:t>for the 100</w:t>
      </w:r>
      <w:r w:rsidR="00036309">
        <w:rPr>
          <w:sz w:val="24"/>
          <w:szCs w:val="24"/>
        </w:rPr>
        <w:t>-</w:t>
      </w:r>
      <w:r w:rsidR="00CA36F6" w:rsidRPr="00CA36F6">
        <w:rPr>
          <w:sz w:val="24"/>
          <w:szCs w:val="24"/>
        </w:rPr>
        <w:t xml:space="preserve"> level artifacts </w:t>
      </w:r>
      <w:r w:rsidRPr="00CA36F6">
        <w:rPr>
          <w:sz w:val="24"/>
          <w:szCs w:val="24"/>
        </w:rPr>
        <w:t xml:space="preserve">was </w:t>
      </w:r>
      <w:r w:rsidR="00CA36F6" w:rsidRPr="00CA36F6">
        <w:rPr>
          <w:sz w:val="24"/>
          <w:szCs w:val="24"/>
        </w:rPr>
        <w:t>Citizenship</w:t>
      </w:r>
      <w:r w:rsidRPr="00CA36F6">
        <w:rPr>
          <w:sz w:val="24"/>
          <w:szCs w:val="24"/>
        </w:rPr>
        <w:t xml:space="preserve"> at 3.</w:t>
      </w:r>
      <w:r w:rsidR="00CA36F6" w:rsidRPr="00CA36F6">
        <w:rPr>
          <w:sz w:val="24"/>
          <w:szCs w:val="24"/>
        </w:rPr>
        <w:t>43</w:t>
      </w:r>
      <w:r w:rsidRPr="00CA36F6">
        <w:rPr>
          <w:sz w:val="24"/>
          <w:szCs w:val="24"/>
        </w:rPr>
        <w:t xml:space="preserve">, followed by </w:t>
      </w:r>
      <w:r w:rsidR="00CA36F6" w:rsidRPr="00CA36F6">
        <w:rPr>
          <w:sz w:val="24"/>
          <w:szCs w:val="24"/>
        </w:rPr>
        <w:t>Academic Integrity</w:t>
      </w:r>
      <w:r w:rsidRPr="00CA36F6">
        <w:rPr>
          <w:sz w:val="24"/>
          <w:szCs w:val="24"/>
        </w:rPr>
        <w:t xml:space="preserve"> at 3.1</w:t>
      </w:r>
      <w:r w:rsidR="00CA36F6" w:rsidRPr="00CA36F6">
        <w:rPr>
          <w:sz w:val="24"/>
          <w:szCs w:val="24"/>
        </w:rPr>
        <w:t>1</w:t>
      </w:r>
      <w:r w:rsidRPr="00CA36F6">
        <w:rPr>
          <w:sz w:val="24"/>
          <w:szCs w:val="24"/>
        </w:rPr>
        <w:t xml:space="preserve">, and finally </w:t>
      </w:r>
      <w:r w:rsidR="00CA36F6" w:rsidRPr="00CA36F6">
        <w:rPr>
          <w:sz w:val="24"/>
          <w:szCs w:val="24"/>
        </w:rPr>
        <w:t>Environmental Responsibility at 2.71</w:t>
      </w:r>
      <w:r w:rsidRPr="00CA36F6">
        <w:rPr>
          <w:sz w:val="24"/>
          <w:szCs w:val="24"/>
        </w:rPr>
        <w:t>.</w:t>
      </w:r>
    </w:p>
    <w:p w14:paraId="0356E373" w14:textId="013714DD" w:rsidR="00CA36F6" w:rsidRDefault="00CA36F6" w:rsidP="7CC322CA">
      <w:pPr>
        <w:rPr>
          <w:sz w:val="24"/>
          <w:szCs w:val="24"/>
          <w:highlight w:val="yellow"/>
        </w:rPr>
      </w:pPr>
      <w:r>
        <w:rPr>
          <w:noProof/>
        </w:rPr>
        <w:drawing>
          <wp:inline distT="0" distB="0" distL="0" distR="0" wp14:anchorId="39282439" wp14:editId="3ADAF03F">
            <wp:extent cx="6858000" cy="4805044"/>
            <wp:effectExtent l="0" t="0" r="0" b="0"/>
            <wp:docPr id="11354628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858000" cy="4805044"/>
                    </a:xfrm>
                    <a:prstGeom prst="rect">
                      <a:avLst/>
                    </a:prstGeom>
                  </pic:spPr>
                </pic:pic>
              </a:graphicData>
            </a:graphic>
          </wp:inline>
        </w:drawing>
      </w:r>
    </w:p>
    <w:p w14:paraId="7C829C15" w14:textId="2949324C" w:rsidR="00CA36F6" w:rsidRDefault="00CA36F6" w:rsidP="7CC322CA">
      <w:pPr>
        <w:rPr>
          <w:sz w:val="24"/>
          <w:szCs w:val="24"/>
          <w:highlight w:val="yellow"/>
        </w:rPr>
      </w:pPr>
    </w:p>
    <w:p w14:paraId="781B6246" w14:textId="5BC25ABA" w:rsidR="0018208C" w:rsidRDefault="0018208C" w:rsidP="7CC322CA">
      <w:pPr>
        <w:rPr>
          <w:sz w:val="24"/>
          <w:szCs w:val="24"/>
          <w:highlight w:val="yellow"/>
        </w:rPr>
      </w:pPr>
    </w:p>
    <w:p w14:paraId="4A1F6604" w14:textId="6495ABDA" w:rsidR="0018208C" w:rsidRDefault="0018208C" w:rsidP="7CC322CA">
      <w:pPr>
        <w:rPr>
          <w:sz w:val="24"/>
          <w:szCs w:val="24"/>
          <w:highlight w:val="yellow"/>
        </w:rPr>
      </w:pPr>
    </w:p>
    <w:p w14:paraId="5CEEAFF2" w14:textId="6561FB75" w:rsidR="0018208C" w:rsidRDefault="0018208C" w:rsidP="7CC322CA">
      <w:pPr>
        <w:rPr>
          <w:sz w:val="24"/>
          <w:szCs w:val="24"/>
          <w:highlight w:val="yellow"/>
        </w:rPr>
      </w:pPr>
    </w:p>
    <w:p w14:paraId="7AF8B5C1" w14:textId="542A2801" w:rsidR="0018208C" w:rsidRDefault="0018208C" w:rsidP="7CC322CA">
      <w:pPr>
        <w:rPr>
          <w:sz w:val="24"/>
          <w:szCs w:val="24"/>
          <w:highlight w:val="yellow"/>
        </w:rPr>
      </w:pPr>
    </w:p>
    <w:p w14:paraId="704D84E7" w14:textId="218C1D69" w:rsidR="0018208C" w:rsidRDefault="0018208C" w:rsidP="7CC322CA">
      <w:pPr>
        <w:rPr>
          <w:sz w:val="24"/>
          <w:szCs w:val="24"/>
          <w:highlight w:val="yellow"/>
        </w:rPr>
      </w:pPr>
    </w:p>
    <w:p w14:paraId="1751110D" w14:textId="77777777" w:rsidR="0018208C" w:rsidRDefault="0018208C" w:rsidP="7CC322CA">
      <w:pPr>
        <w:rPr>
          <w:sz w:val="24"/>
          <w:szCs w:val="24"/>
          <w:highlight w:val="yellow"/>
        </w:rPr>
      </w:pPr>
    </w:p>
    <w:p w14:paraId="030A0D58" w14:textId="79450D38" w:rsidR="00CA36F6" w:rsidRDefault="00CA36F6" w:rsidP="00CA36F6">
      <w:pPr>
        <w:pStyle w:val="Heading2"/>
      </w:pPr>
      <w:r>
        <w:lastRenderedPageBreak/>
        <w:t>200-Level:</w:t>
      </w:r>
    </w:p>
    <w:p w14:paraId="392DD05D" w14:textId="626D300F" w:rsidR="43248D27" w:rsidRDefault="7CC322CA" w:rsidP="7CC322CA">
      <w:pPr>
        <w:rPr>
          <w:sz w:val="24"/>
          <w:szCs w:val="24"/>
        </w:rPr>
      </w:pPr>
      <w:r w:rsidRPr="0018208C">
        <w:rPr>
          <w:sz w:val="24"/>
          <w:szCs w:val="24"/>
        </w:rPr>
        <w:t>A total of</w:t>
      </w:r>
      <w:r w:rsidR="00322CEC" w:rsidRPr="0018208C">
        <w:rPr>
          <w:sz w:val="24"/>
          <w:szCs w:val="24"/>
        </w:rPr>
        <w:t xml:space="preserve"> 66</w:t>
      </w:r>
      <w:r w:rsidRPr="0018208C">
        <w:rPr>
          <w:sz w:val="24"/>
          <w:szCs w:val="24"/>
        </w:rPr>
        <w:t xml:space="preserve"> artifacts from 200-level classes were included in the sample. The average for all criteria for these artifact</w:t>
      </w:r>
      <w:r w:rsidR="0018208C">
        <w:rPr>
          <w:sz w:val="24"/>
          <w:szCs w:val="24"/>
        </w:rPr>
        <w:t xml:space="preserve">s is 3.23, which is </w:t>
      </w:r>
      <w:r w:rsidRPr="0018208C">
        <w:rPr>
          <w:sz w:val="24"/>
          <w:szCs w:val="24"/>
        </w:rPr>
        <w:t>higher than when all artifacts are combined</w:t>
      </w:r>
      <w:r w:rsidR="0018208C">
        <w:rPr>
          <w:sz w:val="24"/>
          <w:szCs w:val="24"/>
        </w:rPr>
        <w:t xml:space="preserve">. </w:t>
      </w:r>
      <w:r w:rsidRPr="0018208C">
        <w:rPr>
          <w:sz w:val="24"/>
          <w:szCs w:val="24"/>
        </w:rPr>
        <w:t xml:space="preserve">The highest average score was </w:t>
      </w:r>
      <w:r w:rsidR="0018208C" w:rsidRPr="0018208C">
        <w:rPr>
          <w:sz w:val="24"/>
          <w:szCs w:val="24"/>
        </w:rPr>
        <w:t>Citizenship at 3.36</w:t>
      </w:r>
      <w:r w:rsidRPr="0018208C">
        <w:rPr>
          <w:sz w:val="24"/>
          <w:szCs w:val="24"/>
        </w:rPr>
        <w:t xml:space="preserve">, followed </w:t>
      </w:r>
      <w:r w:rsidR="0018208C" w:rsidRPr="0018208C">
        <w:rPr>
          <w:sz w:val="24"/>
          <w:szCs w:val="24"/>
        </w:rPr>
        <w:t>by Academic Integrity at 3.20</w:t>
      </w:r>
      <w:r w:rsidRPr="0018208C">
        <w:rPr>
          <w:sz w:val="24"/>
          <w:szCs w:val="24"/>
        </w:rPr>
        <w:t xml:space="preserve">, then </w:t>
      </w:r>
      <w:r w:rsidR="0018208C" w:rsidRPr="0018208C">
        <w:rPr>
          <w:sz w:val="24"/>
          <w:szCs w:val="24"/>
        </w:rPr>
        <w:t>Environmental Responsibility</w:t>
      </w:r>
      <w:r w:rsidRPr="0018208C">
        <w:rPr>
          <w:sz w:val="24"/>
          <w:szCs w:val="24"/>
        </w:rPr>
        <w:t xml:space="preserve"> </w:t>
      </w:r>
      <w:r w:rsidR="0018208C" w:rsidRPr="0018208C">
        <w:rPr>
          <w:sz w:val="24"/>
          <w:szCs w:val="24"/>
        </w:rPr>
        <w:t>at 3.14.</w:t>
      </w:r>
    </w:p>
    <w:p w14:paraId="33271452" w14:textId="1CF11BBF" w:rsidR="00DD091C" w:rsidRDefault="0018208C" w:rsidP="43248D27">
      <w:r>
        <w:rPr>
          <w:noProof/>
        </w:rPr>
        <w:drawing>
          <wp:inline distT="0" distB="0" distL="0" distR="0" wp14:anchorId="68C236D7" wp14:editId="1A1A016C">
            <wp:extent cx="6858000" cy="4639309"/>
            <wp:effectExtent l="0" t="0" r="0" b="8890"/>
            <wp:docPr id="20800528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6858000" cy="4639309"/>
                    </a:xfrm>
                    <a:prstGeom prst="rect">
                      <a:avLst/>
                    </a:prstGeom>
                  </pic:spPr>
                </pic:pic>
              </a:graphicData>
            </a:graphic>
          </wp:inline>
        </w:drawing>
      </w:r>
    </w:p>
    <w:p w14:paraId="1F74CFB8" w14:textId="37531413" w:rsidR="0018208C" w:rsidRDefault="0018208C" w:rsidP="002A0C3D">
      <w:pPr>
        <w:pStyle w:val="Heading2"/>
        <w:rPr>
          <w:rFonts w:ascii="Calibri" w:eastAsia="Calibri" w:hAnsi="Calibri" w:cs="Calibri"/>
          <w:color w:val="auto"/>
          <w:sz w:val="22"/>
          <w:szCs w:val="22"/>
        </w:rPr>
      </w:pPr>
      <w:r w:rsidRPr="27C562CF">
        <w:rPr>
          <w:rFonts w:ascii="Calibri" w:eastAsia="Calibri" w:hAnsi="Calibri" w:cs="Calibri"/>
          <w:color w:val="auto"/>
          <w:sz w:val="22"/>
          <w:szCs w:val="22"/>
        </w:rPr>
        <w:t xml:space="preserve">NOTE: Only one of the </w:t>
      </w:r>
      <w:r w:rsidR="00036309" w:rsidRPr="27C562CF">
        <w:rPr>
          <w:rFonts w:ascii="Calibri" w:eastAsia="Calibri" w:hAnsi="Calibri" w:cs="Calibri"/>
          <w:color w:val="auto"/>
          <w:sz w:val="22"/>
          <w:szCs w:val="22"/>
        </w:rPr>
        <w:t xml:space="preserve">200-level </w:t>
      </w:r>
      <w:r w:rsidRPr="27C562CF">
        <w:rPr>
          <w:rFonts w:ascii="Calibri" w:eastAsia="Calibri" w:hAnsi="Calibri" w:cs="Calibri"/>
          <w:color w:val="auto"/>
          <w:sz w:val="22"/>
          <w:szCs w:val="22"/>
        </w:rPr>
        <w:t xml:space="preserve">assignments measured the Environmental Responsibility criterion; </w:t>
      </w:r>
      <w:r w:rsidR="00036309" w:rsidRPr="27C562CF">
        <w:rPr>
          <w:rFonts w:ascii="Calibri" w:eastAsia="Calibri" w:hAnsi="Calibri" w:cs="Calibri"/>
          <w:color w:val="auto"/>
          <w:sz w:val="22"/>
          <w:szCs w:val="22"/>
        </w:rPr>
        <w:t xml:space="preserve">thus, there is </w:t>
      </w:r>
      <w:r w:rsidRPr="27C562CF">
        <w:rPr>
          <w:rFonts w:ascii="Calibri" w:eastAsia="Calibri" w:hAnsi="Calibri" w:cs="Calibri"/>
          <w:color w:val="auto"/>
          <w:sz w:val="22"/>
          <w:szCs w:val="22"/>
        </w:rPr>
        <w:t>likely not enough data to generalize.</w:t>
      </w:r>
    </w:p>
    <w:p w14:paraId="541ED50E" w14:textId="6129A4D4" w:rsidR="0018208C" w:rsidRDefault="0018208C" w:rsidP="0018208C"/>
    <w:p w14:paraId="15A5473D" w14:textId="01B88909" w:rsidR="0018208C" w:rsidRDefault="0018208C" w:rsidP="0018208C"/>
    <w:p w14:paraId="1F6DD05D" w14:textId="52DF3074" w:rsidR="0018208C" w:rsidRDefault="0018208C" w:rsidP="0018208C"/>
    <w:p w14:paraId="5752AEDD" w14:textId="1A0B38D7" w:rsidR="0018208C" w:rsidRDefault="0018208C" w:rsidP="0018208C"/>
    <w:p w14:paraId="3B9060CE" w14:textId="2CDE8A5D" w:rsidR="0018208C" w:rsidRDefault="0018208C" w:rsidP="0018208C"/>
    <w:p w14:paraId="706EEF38" w14:textId="6ADC2496" w:rsidR="0018208C" w:rsidRDefault="0018208C" w:rsidP="0018208C"/>
    <w:p w14:paraId="54A50514" w14:textId="2FB2A17B" w:rsidR="0018208C" w:rsidRDefault="0018208C" w:rsidP="002A0C3D">
      <w:pPr>
        <w:pStyle w:val="Heading2"/>
        <w:rPr>
          <w:rFonts w:ascii="Calibri" w:eastAsia="Calibri" w:hAnsi="Calibri" w:cs="Calibri"/>
          <w:color w:val="auto"/>
          <w:sz w:val="22"/>
          <w:szCs w:val="22"/>
        </w:rPr>
      </w:pPr>
    </w:p>
    <w:p w14:paraId="72E9C85E" w14:textId="77777777" w:rsidR="00757B64" w:rsidRPr="00757B64" w:rsidRDefault="00757B64" w:rsidP="00757B64"/>
    <w:p w14:paraId="132D4934" w14:textId="210B7485" w:rsidR="00216A58" w:rsidRDefault="002A0C3D" w:rsidP="002A0C3D">
      <w:pPr>
        <w:pStyle w:val="Heading2"/>
      </w:pPr>
      <w:r>
        <w:lastRenderedPageBreak/>
        <w:t>Professional-Technical Programs</w:t>
      </w:r>
      <w:r w:rsidR="0018208C">
        <w:t>:</w:t>
      </w:r>
    </w:p>
    <w:p w14:paraId="105D571F" w14:textId="58FECC40" w:rsidR="002A0C3D" w:rsidRPr="00211D0B" w:rsidRDefault="0018208C" w:rsidP="43248D27">
      <w:pPr>
        <w:rPr>
          <w:sz w:val="24"/>
          <w:szCs w:val="24"/>
        </w:rPr>
      </w:pPr>
      <w:r w:rsidRPr="0018208C">
        <w:rPr>
          <w:sz w:val="24"/>
          <w:szCs w:val="24"/>
        </w:rPr>
        <w:t>A total of 45</w:t>
      </w:r>
      <w:r w:rsidR="43248D27" w:rsidRPr="0018208C">
        <w:rPr>
          <w:sz w:val="24"/>
          <w:szCs w:val="24"/>
        </w:rPr>
        <w:t xml:space="preserve"> artifacts from the Professional-Technical programs were included in the sample. The average for </w:t>
      </w:r>
      <w:r w:rsidRPr="0018208C">
        <w:rPr>
          <w:sz w:val="24"/>
          <w:szCs w:val="24"/>
        </w:rPr>
        <w:t xml:space="preserve">two of the three </w:t>
      </w:r>
      <w:r w:rsidR="43248D27" w:rsidRPr="0018208C">
        <w:rPr>
          <w:sz w:val="24"/>
          <w:szCs w:val="24"/>
        </w:rPr>
        <w:t xml:space="preserve">criterion was higher than the average for all artifacts combined. </w:t>
      </w:r>
      <w:r w:rsidRPr="0018208C">
        <w:rPr>
          <w:sz w:val="24"/>
          <w:szCs w:val="24"/>
        </w:rPr>
        <w:t>The artifacts submitted did not measure the Environmental Responsibility criterion</w:t>
      </w:r>
      <w:r>
        <w:rPr>
          <w:sz w:val="24"/>
          <w:szCs w:val="24"/>
        </w:rPr>
        <w:t>.</w:t>
      </w:r>
      <w:r w:rsidRPr="0018208C">
        <w:rPr>
          <w:sz w:val="24"/>
          <w:szCs w:val="24"/>
        </w:rPr>
        <w:t xml:space="preserve"> </w:t>
      </w:r>
      <w:r w:rsidR="43248D27" w:rsidRPr="0018208C">
        <w:rPr>
          <w:sz w:val="24"/>
          <w:szCs w:val="24"/>
        </w:rPr>
        <w:t xml:space="preserve">The highest average score was again for </w:t>
      </w:r>
      <w:r w:rsidRPr="0018208C">
        <w:rPr>
          <w:sz w:val="24"/>
          <w:szCs w:val="24"/>
        </w:rPr>
        <w:t>Citizenship</w:t>
      </w:r>
      <w:r w:rsidR="43248D27" w:rsidRPr="0018208C">
        <w:rPr>
          <w:sz w:val="24"/>
          <w:szCs w:val="24"/>
        </w:rPr>
        <w:t xml:space="preserve"> at 3.6</w:t>
      </w:r>
      <w:r w:rsidRPr="0018208C">
        <w:rPr>
          <w:sz w:val="24"/>
          <w:szCs w:val="24"/>
        </w:rPr>
        <w:t>7</w:t>
      </w:r>
      <w:r w:rsidR="43248D27" w:rsidRPr="0018208C">
        <w:rPr>
          <w:sz w:val="24"/>
          <w:szCs w:val="24"/>
        </w:rPr>
        <w:t xml:space="preserve">, followed by </w:t>
      </w:r>
      <w:r w:rsidRPr="0018208C">
        <w:rPr>
          <w:sz w:val="24"/>
          <w:szCs w:val="24"/>
        </w:rPr>
        <w:t>Academic Integrity at 3.36.</w:t>
      </w:r>
    </w:p>
    <w:p w14:paraId="681DAB05" w14:textId="77777777" w:rsidR="0018208C" w:rsidRDefault="0018208C" w:rsidP="00BF3969">
      <w:pPr>
        <w:rPr>
          <w:sz w:val="24"/>
          <w:szCs w:val="24"/>
          <w:highlight w:val="yellow"/>
        </w:rPr>
      </w:pPr>
      <w:r>
        <w:rPr>
          <w:noProof/>
        </w:rPr>
        <w:drawing>
          <wp:inline distT="0" distB="0" distL="0" distR="0" wp14:anchorId="5CB89719" wp14:editId="70DAEC05">
            <wp:extent cx="6858000" cy="4849493"/>
            <wp:effectExtent l="0" t="0" r="0" b="8255"/>
            <wp:docPr id="70993439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6858000" cy="4849493"/>
                    </a:xfrm>
                    <a:prstGeom prst="rect">
                      <a:avLst/>
                    </a:prstGeom>
                  </pic:spPr>
                </pic:pic>
              </a:graphicData>
            </a:graphic>
          </wp:inline>
        </w:drawing>
      </w:r>
      <w:r w:rsidRPr="2CF85C2D">
        <w:rPr>
          <w:sz w:val="24"/>
          <w:szCs w:val="24"/>
          <w:highlight w:val="yellow"/>
        </w:rPr>
        <w:t xml:space="preserve"> </w:t>
      </w:r>
    </w:p>
    <w:p w14:paraId="3278D29F" w14:textId="287334E5" w:rsidR="0018208C" w:rsidRDefault="0018208C" w:rsidP="00BF3969">
      <w:pPr>
        <w:rPr>
          <w:sz w:val="24"/>
          <w:szCs w:val="24"/>
          <w:highlight w:val="yellow"/>
        </w:rPr>
      </w:pPr>
      <w:r w:rsidRPr="27C562CF">
        <w:rPr>
          <w:sz w:val="24"/>
          <w:szCs w:val="24"/>
        </w:rPr>
        <w:t xml:space="preserve">NOTE: </w:t>
      </w:r>
      <w:r w:rsidR="00036309" w:rsidRPr="27C562CF">
        <w:rPr>
          <w:sz w:val="24"/>
          <w:szCs w:val="24"/>
        </w:rPr>
        <w:t>Due to the low number of artifacts, there is l</w:t>
      </w:r>
      <w:r w:rsidRPr="27C562CF">
        <w:rPr>
          <w:sz w:val="24"/>
          <w:szCs w:val="24"/>
        </w:rPr>
        <w:t>ikely not enough data to generaliza</w:t>
      </w:r>
      <w:r w:rsidR="00036309" w:rsidRPr="27C562CF">
        <w:rPr>
          <w:sz w:val="24"/>
          <w:szCs w:val="24"/>
        </w:rPr>
        <w:t>ble. The</w:t>
      </w:r>
      <w:r w:rsidRPr="27C562CF">
        <w:rPr>
          <w:sz w:val="24"/>
          <w:szCs w:val="24"/>
        </w:rPr>
        <w:t xml:space="preserve"> </w:t>
      </w:r>
      <w:r w:rsidR="00036309" w:rsidRPr="27C562CF">
        <w:rPr>
          <w:sz w:val="24"/>
          <w:szCs w:val="24"/>
        </w:rPr>
        <w:t>Environmental R</w:t>
      </w:r>
      <w:r w:rsidRPr="27C562CF">
        <w:rPr>
          <w:sz w:val="24"/>
          <w:szCs w:val="24"/>
        </w:rPr>
        <w:t xml:space="preserve">esponsibility </w:t>
      </w:r>
      <w:r w:rsidR="00036309" w:rsidRPr="27C562CF">
        <w:rPr>
          <w:sz w:val="24"/>
          <w:szCs w:val="24"/>
        </w:rPr>
        <w:t xml:space="preserve">criterion was </w:t>
      </w:r>
      <w:r w:rsidRPr="27C562CF">
        <w:rPr>
          <w:sz w:val="24"/>
          <w:szCs w:val="24"/>
        </w:rPr>
        <w:t>not measured</w:t>
      </w:r>
      <w:r w:rsidR="00036309" w:rsidRPr="27C562CF">
        <w:rPr>
          <w:sz w:val="24"/>
          <w:szCs w:val="24"/>
        </w:rPr>
        <w:t>.</w:t>
      </w:r>
    </w:p>
    <w:p w14:paraId="6B257F73" w14:textId="4F81CF15" w:rsidR="0018208C" w:rsidRDefault="0018208C" w:rsidP="00BF3969">
      <w:pPr>
        <w:rPr>
          <w:sz w:val="24"/>
          <w:szCs w:val="24"/>
          <w:highlight w:val="yellow"/>
        </w:rPr>
      </w:pPr>
    </w:p>
    <w:p w14:paraId="41F23E62" w14:textId="055002B5" w:rsidR="0018208C" w:rsidRDefault="0018208C" w:rsidP="00BF3969">
      <w:pPr>
        <w:rPr>
          <w:sz w:val="24"/>
          <w:szCs w:val="24"/>
          <w:highlight w:val="yellow"/>
        </w:rPr>
      </w:pPr>
    </w:p>
    <w:p w14:paraId="698489B5" w14:textId="1CA3C830" w:rsidR="0018208C" w:rsidRDefault="0018208C" w:rsidP="00BF3969">
      <w:pPr>
        <w:rPr>
          <w:sz w:val="24"/>
          <w:szCs w:val="24"/>
          <w:highlight w:val="yellow"/>
        </w:rPr>
      </w:pPr>
    </w:p>
    <w:p w14:paraId="52438E56" w14:textId="04B85C3A" w:rsidR="0018208C" w:rsidRDefault="0018208C" w:rsidP="00BF3969">
      <w:pPr>
        <w:rPr>
          <w:sz w:val="24"/>
          <w:szCs w:val="24"/>
          <w:highlight w:val="yellow"/>
        </w:rPr>
      </w:pPr>
    </w:p>
    <w:p w14:paraId="2FB6CE86" w14:textId="131DC007" w:rsidR="0018208C" w:rsidRDefault="0018208C" w:rsidP="00BF3969">
      <w:pPr>
        <w:rPr>
          <w:sz w:val="24"/>
          <w:szCs w:val="24"/>
          <w:highlight w:val="yellow"/>
        </w:rPr>
      </w:pPr>
    </w:p>
    <w:p w14:paraId="775C7BBF" w14:textId="320438DC" w:rsidR="0018208C" w:rsidRDefault="0018208C" w:rsidP="00BF3969">
      <w:pPr>
        <w:rPr>
          <w:sz w:val="24"/>
          <w:szCs w:val="24"/>
          <w:highlight w:val="yellow"/>
        </w:rPr>
      </w:pPr>
    </w:p>
    <w:p w14:paraId="67062E1B" w14:textId="30452F3A" w:rsidR="0018208C" w:rsidRPr="0018208C" w:rsidRDefault="0018208C" w:rsidP="0018208C">
      <w:pPr>
        <w:pStyle w:val="Heading2"/>
      </w:pPr>
      <w:r w:rsidRPr="0018208C">
        <w:lastRenderedPageBreak/>
        <w:t>All except Professional Technical:</w:t>
      </w:r>
    </w:p>
    <w:p w14:paraId="27C4C9A0" w14:textId="73295863" w:rsidR="00BF3969" w:rsidRPr="00211D0B" w:rsidRDefault="172E68E4" w:rsidP="00BF3969">
      <w:pPr>
        <w:rPr>
          <w:sz w:val="24"/>
          <w:szCs w:val="24"/>
        </w:rPr>
      </w:pPr>
      <w:r w:rsidRPr="0018208C">
        <w:rPr>
          <w:sz w:val="24"/>
          <w:szCs w:val="24"/>
        </w:rPr>
        <w:t xml:space="preserve">When Professional-Technical artifacts are removed, the average for all criteria for the remaining </w:t>
      </w:r>
      <w:r w:rsidR="0018208C" w:rsidRPr="0018208C">
        <w:rPr>
          <w:sz w:val="24"/>
          <w:szCs w:val="24"/>
        </w:rPr>
        <w:t>171</w:t>
      </w:r>
      <w:r w:rsidRPr="0018208C">
        <w:rPr>
          <w:sz w:val="24"/>
          <w:szCs w:val="24"/>
        </w:rPr>
        <w:t xml:space="preserve"> artifacts is </w:t>
      </w:r>
      <w:r w:rsidR="0018208C" w:rsidRPr="0018208C">
        <w:rPr>
          <w:sz w:val="24"/>
          <w:szCs w:val="24"/>
        </w:rPr>
        <w:t xml:space="preserve">3.07, slightly </w:t>
      </w:r>
      <w:r w:rsidRPr="0018208C">
        <w:rPr>
          <w:sz w:val="24"/>
          <w:szCs w:val="24"/>
        </w:rPr>
        <w:t>lower than it is when all artifacts a</w:t>
      </w:r>
      <w:r w:rsidR="0018208C" w:rsidRPr="0018208C">
        <w:rPr>
          <w:sz w:val="24"/>
          <w:szCs w:val="24"/>
        </w:rPr>
        <w:t xml:space="preserve">re combined. </w:t>
      </w:r>
      <w:r w:rsidRPr="0018208C">
        <w:rPr>
          <w:sz w:val="24"/>
          <w:szCs w:val="24"/>
        </w:rPr>
        <w:t xml:space="preserve">The highest score is </w:t>
      </w:r>
      <w:r w:rsidR="00F231E9" w:rsidRPr="0018208C">
        <w:rPr>
          <w:sz w:val="24"/>
          <w:szCs w:val="24"/>
        </w:rPr>
        <w:t xml:space="preserve">still </w:t>
      </w:r>
      <w:r w:rsidR="0018208C" w:rsidRPr="0018208C">
        <w:rPr>
          <w:sz w:val="24"/>
          <w:szCs w:val="24"/>
        </w:rPr>
        <w:t>Citizenship</w:t>
      </w:r>
      <w:r w:rsidRPr="0018208C">
        <w:rPr>
          <w:sz w:val="24"/>
          <w:szCs w:val="24"/>
        </w:rPr>
        <w:t xml:space="preserve"> at </w:t>
      </w:r>
      <w:r w:rsidR="0018208C" w:rsidRPr="0018208C">
        <w:rPr>
          <w:sz w:val="24"/>
          <w:szCs w:val="24"/>
        </w:rPr>
        <w:t>3.34</w:t>
      </w:r>
      <w:r w:rsidRPr="0018208C">
        <w:rPr>
          <w:sz w:val="24"/>
          <w:szCs w:val="24"/>
        </w:rPr>
        <w:t xml:space="preserve">, followed by </w:t>
      </w:r>
      <w:r w:rsidR="0018208C" w:rsidRPr="0018208C">
        <w:rPr>
          <w:sz w:val="24"/>
          <w:szCs w:val="24"/>
        </w:rPr>
        <w:t>Academic Integrity</w:t>
      </w:r>
      <w:r w:rsidR="00243556" w:rsidRPr="0018208C">
        <w:rPr>
          <w:sz w:val="24"/>
          <w:szCs w:val="24"/>
        </w:rPr>
        <w:t xml:space="preserve"> at 3.</w:t>
      </w:r>
      <w:r w:rsidR="0018208C" w:rsidRPr="0018208C">
        <w:rPr>
          <w:sz w:val="24"/>
          <w:szCs w:val="24"/>
        </w:rPr>
        <w:t>08</w:t>
      </w:r>
      <w:r w:rsidRPr="0018208C">
        <w:rPr>
          <w:sz w:val="24"/>
          <w:szCs w:val="24"/>
        </w:rPr>
        <w:t xml:space="preserve">, then </w:t>
      </w:r>
      <w:r w:rsidR="0018208C" w:rsidRPr="0018208C">
        <w:rPr>
          <w:sz w:val="24"/>
          <w:szCs w:val="24"/>
        </w:rPr>
        <w:t>Environmental Responsibility</w:t>
      </w:r>
      <w:r w:rsidR="00F231E9" w:rsidRPr="0018208C">
        <w:rPr>
          <w:sz w:val="24"/>
          <w:szCs w:val="24"/>
        </w:rPr>
        <w:t xml:space="preserve"> </w:t>
      </w:r>
      <w:r w:rsidRPr="0018208C">
        <w:rPr>
          <w:sz w:val="24"/>
          <w:szCs w:val="24"/>
        </w:rPr>
        <w:t xml:space="preserve">at </w:t>
      </w:r>
      <w:r w:rsidR="0018208C" w:rsidRPr="0018208C">
        <w:rPr>
          <w:sz w:val="24"/>
          <w:szCs w:val="24"/>
        </w:rPr>
        <w:t>2.08.</w:t>
      </w:r>
    </w:p>
    <w:p w14:paraId="6DD4BFB1" w14:textId="59A6169E" w:rsidR="001874A6" w:rsidRDefault="003A56FC" w:rsidP="00DA403C">
      <w:r>
        <w:rPr>
          <w:noProof/>
        </w:rPr>
        <w:drawing>
          <wp:inline distT="0" distB="0" distL="0" distR="0" wp14:anchorId="53BEA229" wp14:editId="4D2661C6">
            <wp:extent cx="6858000" cy="4548505"/>
            <wp:effectExtent l="0" t="0" r="0" b="4445"/>
            <wp:docPr id="21407689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6858000" cy="4548505"/>
                    </a:xfrm>
                    <a:prstGeom prst="rect">
                      <a:avLst/>
                    </a:prstGeom>
                  </pic:spPr>
                </pic:pic>
              </a:graphicData>
            </a:graphic>
          </wp:inline>
        </w:drawing>
      </w:r>
    </w:p>
    <w:p w14:paraId="2BFBC3A2" w14:textId="58FCCF9F" w:rsidR="00C26736" w:rsidRDefault="00DA403C" w:rsidP="00145D69">
      <w:pPr>
        <w:pStyle w:val="Heading1"/>
      </w:pPr>
      <w:r>
        <w:t>Limitations</w:t>
      </w:r>
    </w:p>
    <w:p w14:paraId="18C5024A" w14:textId="21607F26" w:rsidR="00036309" w:rsidRDefault="00036309" w:rsidP="00036309">
      <w:pPr>
        <w:rPr>
          <w:sz w:val="24"/>
          <w:szCs w:val="24"/>
        </w:rPr>
      </w:pPr>
      <w:r w:rsidRPr="00357361">
        <w:rPr>
          <w:sz w:val="24"/>
          <w:szCs w:val="24"/>
        </w:rPr>
        <w:t>No statisticians serve</w:t>
      </w:r>
      <w:r>
        <w:rPr>
          <w:sz w:val="24"/>
          <w:szCs w:val="24"/>
        </w:rPr>
        <w:t>d</w:t>
      </w:r>
      <w:r w:rsidRPr="00357361">
        <w:rPr>
          <w:sz w:val="24"/>
          <w:szCs w:val="24"/>
        </w:rPr>
        <w:t xml:space="preserve"> on the committee</w:t>
      </w:r>
      <w:r>
        <w:rPr>
          <w:sz w:val="24"/>
          <w:szCs w:val="24"/>
        </w:rPr>
        <w:t xml:space="preserve">, thus no inferential statistical techniques were used for analysis. </w:t>
      </w:r>
      <w:r w:rsidRPr="00357361">
        <w:rPr>
          <w:sz w:val="24"/>
          <w:szCs w:val="24"/>
        </w:rPr>
        <w:t>CLAC welcomes any assistance with data analysis in the future.</w:t>
      </w:r>
    </w:p>
    <w:p w14:paraId="1F73D87B" w14:textId="77777777" w:rsidR="00036309" w:rsidRDefault="00036309" w:rsidP="00036309">
      <w:pPr>
        <w:rPr>
          <w:sz w:val="24"/>
          <w:szCs w:val="24"/>
        </w:rPr>
      </w:pPr>
      <w:r>
        <w:rPr>
          <w:sz w:val="24"/>
          <w:szCs w:val="24"/>
        </w:rPr>
        <w:t xml:space="preserve">The Canvas LMS works well as a repository and to facilitate scoring of artifacts using a rubric, but it does not provide tools for the analysis of individual rubric criterion. Thus, significant time and effort went into the manual data entry of individual criterion scores into MS Excel. </w:t>
      </w:r>
    </w:p>
    <w:p w14:paraId="0DFAAA9A" w14:textId="1A87661E" w:rsidR="00036309" w:rsidRDefault="00DC4E1E" w:rsidP="00036309">
      <w:pPr>
        <w:rPr>
          <w:sz w:val="24"/>
          <w:szCs w:val="24"/>
        </w:rPr>
      </w:pPr>
      <w:r w:rsidRPr="27C562CF">
        <w:rPr>
          <w:sz w:val="24"/>
          <w:szCs w:val="24"/>
        </w:rPr>
        <w:t>Only twelve assignments were submitted by faculty to assess this DLO and not all campus divisions were presented.  In addition, very few of the submitted assignments measured the Environmental Responsibility criterion.  Thus it is likely that there is not enough data for the RES DLO assessment to be generalizable.</w:t>
      </w:r>
    </w:p>
    <w:p w14:paraId="60141A20" w14:textId="77777777" w:rsidR="00A72E1B" w:rsidRDefault="00A72E1B" w:rsidP="43248D27">
      <w:pPr>
        <w:rPr>
          <w:sz w:val="24"/>
          <w:szCs w:val="24"/>
        </w:rPr>
      </w:pPr>
    </w:p>
    <w:p w14:paraId="5CB17741" w14:textId="1A718F86" w:rsidR="7427F719" w:rsidRDefault="7427F719" w:rsidP="7427F719">
      <w:pPr>
        <w:pStyle w:val="Heading1"/>
      </w:pPr>
      <w:r>
        <w:t>Discussion</w:t>
      </w:r>
    </w:p>
    <w:p w14:paraId="3AEB9757" w14:textId="1868A743" w:rsidR="00FC09AE" w:rsidRDefault="00674C56" w:rsidP="4E0AB8E8">
      <w:pPr>
        <w:rPr>
          <w:sz w:val="24"/>
          <w:szCs w:val="24"/>
        </w:rPr>
      </w:pPr>
      <w:r w:rsidRPr="2CF85C2D">
        <w:rPr>
          <w:sz w:val="24"/>
          <w:szCs w:val="24"/>
        </w:rPr>
        <w:t xml:space="preserve">No </w:t>
      </w:r>
      <w:r w:rsidR="0053531F" w:rsidRPr="2CF85C2D">
        <w:rPr>
          <w:sz w:val="24"/>
          <w:szCs w:val="24"/>
        </w:rPr>
        <w:t>direct</w:t>
      </w:r>
      <w:r w:rsidRPr="2CF85C2D">
        <w:rPr>
          <w:sz w:val="24"/>
          <w:szCs w:val="24"/>
        </w:rPr>
        <w:t xml:space="preserve"> comparisons can be made with previous assessment work because the 2015 assessment utilized a student survey approach rather than a rubric approach.</w:t>
      </w:r>
      <w:r w:rsidR="00FC09AE" w:rsidRPr="2CF85C2D">
        <w:rPr>
          <w:sz w:val="24"/>
          <w:szCs w:val="24"/>
        </w:rPr>
        <w:t xml:space="preserve"> </w:t>
      </w:r>
      <w:r w:rsidR="0053531F" w:rsidRPr="2CF85C2D">
        <w:rPr>
          <w:sz w:val="24"/>
          <w:szCs w:val="24"/>
        </w:rPr>
        <w:t>However i</w:t>
      </w:r>
      <w:r w:rsidR="011C89C9" w:rsidRPr="2CF85C2D">
        <w:rPr>
          <w:sz w:val="24"/>
          <w:szCs w:val="24"/>
        </w:rPr>
        <w:t>t</w:t>
      </w:r>
      <w:r w:rsidR="0053531F" w:rsidRPr="2CF85C2D">
        <w:rPr>
          <w:sz w:val="24"/>
          <w:szCs w:val="24"/>
        </w:rPr>
        <w:t xml:space="preserve"> can be noted that in the 2015 assessment, </w:t>
      </w:r>
      <w:r w:rsidR="0053531F" w:rsidRPr="2CF85C2D">
        <w:rPr>
          <w:sz w:val="24"/>
          <w:szCs w:val="24"/>
        </w:rPr>
        <w:lastRenderedPageBreak/>
        <w:t>the Individual and Community elements of the RES DLO were met while the Environment element was not.  This is a similar result to the current RES DLO assessment.</w:t>
      </w:r>
    </w:p>
    <w:p w14:paraId="49AD96B3" w14:textId="6526D35A" w:rsidR="00FC09AE" w:rsidRDefault="0053531F" w:rsidP="4E0AB8E8">
      <w:pPr>
        <w:rPr>
          <w:sz w:val="24"/>
          <w:szCs w:val="24"/>
        </w:rPr>
      </w:pPr>
      <w:r>
        <w:rPr>
          <w:sz w:val="24"/>
          <w:szCs w:val="24"/>
        </w:rPr>
        <w:t>Recommendations</w:t>
      </w:r>
      <w:r w:rsidR="00FC09AE">
        <w:rPr>
          <w:sz w:val="24"/>
          <w:szCs w:val="24"/>
        </w:rPr>
        <w:t xml:space="preserve"> made in 2015 </w:t>
      </w:r>
      <w:r>
        <w:rPr>
          <w:sz w:val="24"/>
          <w:szCs w:val="24"/>
        </w:rPr>
        <w:t>included</w:t>
      </w:r>
      <w:r w:rsidR="00FC09AE">
        <w:rPr>
          <w:sz w:val="24"/>
          <w:szCs w:val="24"/>
        </w:rPr>
        <w:t xml:space="preserve"> generat</w:t>
      </w:r>
      <w:r>
        <w:rPr>
          <w:sz w:val="24"/>
          <w:szCs w:val="24"/>
        </w:rPr>
        <w:t>ing</w:t>
      </w:r>
      <w:r w:rsidR="00FC09AE">
        <w:rPr>
          <w:sz w:val="24"/>
          <w:szCs w:val="24"/>
        </w:rPr>
        <w:t xml:space="preserve"> a larger sample size</w:t>
      </w:r>
      <w:r>
        <w:rPr>
          <w:sz w:val="24"/>
          <w:szCs w:val="24"/>
        </w:rPr>
        <w:t>, and creating a syllabus template that clearly defines academic dishonesty</w:t>
      </w:r>
      <w:r w:rsidR="00FC09AE">
        <w:rPr>
          <w:sz w:val="24"/>
          <w:szCs w:val="24"/>
        </w:rPr>
        <w:t xml:space="preserve">. </w:t>
      </w:r>
      <w:r>
        <w:rPr>
          <w:sz w:val="24"/>
          <w:szCs w:val="24"/>
        </w:rPr>
        <w:t xml:space="preserve"> Both of these recommendations have been met. </w:t>
      </w:r>
      <w:r w:rsidR="00FC09AE">
        <w:rPr>
          <w:sz w:val="24"/>
          <w:szCs w:val="24"/>
        </w:rPr>
        <w:t>This sample size of 276 was more than double the 2015 size, however</w:t>
      </w:r>
      <w:r w:rsidR="00705648">
        <w:rPr>
          <w:sz w:val="24"/>
          <w:szCs w:val="24"/>
        </w:rPr>
        <w:t>,</w:t>
      </w:r>
      <w:r w:rsidR="00FC09AE">
        <w:rPr>
          <w:sz w:val="24"/>
          <w:szCs w:val="24"/>
        </w:rPr>
        <w:t xml:space="preserve"> it did not represent all </w:t>
      </w:r>
      <w:r w:rsidR="00705648">
        <w:rPr>
          <w:sz w:val="24"/>
          <w:szCs w:val="24"/>
        </w:rPr>
        <w:t>divisions on</w:t>
      </w:r>
      <w:r w:rsidR="00FC09AE">
        <w:rPr>
          <w:sz w:val="24"/>
          <w:szCs w:val="24"/>
        </w:rPr>
        <w:t xml:space="preserve"> campus. </w:t>
      </w:r>
      <w:r>
        <w:rPr>
          <w:sz w:val="24"/>
          <w:szCs w:val="24"/>
        </w:rPr>
        <w:t xml:space="preserve">A syllabus template was </w:t>
      </w:r>
      <w:r w:rsidR="00705648">
        <w:rPr>
          <w:sz w:val="24"/>
          <w:szCs w:val="24"/>
        </w:rPr>
        <w:t xml:space="preserve">recently </w:t>
      </w:r>
      <w:r>
        <w:rPr>
          <w:sz w:val="24"/>
          <w:szCs w:val="24"/>
        </w:rPr>
        <w:t>created by a taskf</w:t>
      </w:r>
      <w:r w:rsidR="00705648">
        <w:rPr>
          <w:sz w:val="24"/>
          <w:szCs w:val="24"/>
        </w:rPr>
        <w:t xml:space="preserve">orce, and </w:t>
      </w:r>
      <w:r>
        <w:rPr>
          <w:sz w:val="24"/>
          <w:szCs w:val="24"/>
        </w:rPr>
        <w:t>is scheduled to be implemented campus-wide in the 2020/21 academic year</w:t>
      </w:r>
      <w:r w:rsidR="007B5698">
        <w:rPr>
          <w:sz w:val="24"/>
          <w:szCs w:val="24"/>
        </w:rPr>
        <w:t>.</w:t>
      </w:r>
    </w:p>
    <w:p w14:paraId="1D871B35" w14:textId="0ED7C6A2" w:rsidR="007B5698" w:rsidRDefault="007B5698" w:rsidP="4E0AB8E8">
      <w:pPr>
        <w:rPr>
          <w:sz w:val="24"/>
          <w:szCs w:val="24"/>
        </w:rPr>
      </w:pPr>
      <w:r>
        <w:rPr>
          <w:sz w:val="24"/>
          <w:szCs w:val="24"/>
        </w:rPr>
        <w:t xml:space="preserve">The 2015 assessment noted that there was no campus-wide, universal community effort to support the achievement of the environmental responsibility element of this DLO. Nor did the college’s mission, vision, or strategic plan mention environment at the time. </w:t>
      </w:r>
      <w:r w:rsidR="00C40EC8">
        <w:rPr>
          <w:sz w:val="24"/>
          <w:szCs w:val="24"/>
        </w:rPr>
        <w:t>The colleges new 2020-2025 strategic plan</w:t>
      </w:r>
      <w:r w:rsidR="00AF0010">
        <w:rPr>
          <w:sz w:val="24"/>
          <w:szCs w:val="24"/>
        </w:rPr>
        <w:t xml:space="preserve"> addresses environmental responsibility </w:t>
      </w:r>
      <w:r w:rsidR="00C40EC8">
        <w:rPr>
          <w:sz w:val="24"/>
          <w:szCs w:val="24"/>
        </w:rPr>
        <w:t>through its value statements and core themes. The Responsibility Value states in part “We lead by example through the practice of environmental, institutional, and personal sustainability</w:t>
      </w:r>
      <w:r w:rsidR="00AF0010">
        <w:rPr>
          <w:sz w:val="24"/>
          <w:szCs w:val="24"/>
        </w:rPr>
        <w:t>”. Core Theme #4: Enhancing Institutional Vitality’s second goal states “We promote sustainable practices” and this is done by strengthening environmental sustainability practices. With the inclusion of environmental responsibility in the new strategic plan, a stronger emphasis can be anticipated in the future.</w:t>
      </w:r>
    </w:p>
    <w:p w14:paraId="08F5D93F" w14:textId="3CDF7E99" w:rsidR="00FC09AE" w:rsidRDefault="007B5698" w:rsidP="00FC09AE">
      <w:pPr>
        <w:rPr>
          <w:sz w:val="24"/>
          <w:szCs w:val="24"/>
        </w:rPr>
      </w:pPr>
      <w:r>
        <w:rPr>
          <w:sz w:val="24"/>
          <w:szCs w:val="24"/>
        </w:rPr>
        <w:t>For the current assessment, d</w:t>
      </w:r>
      <w:r w:rsidR="00FC09AE" w:rsidRPr="00357361">
        <w:rPr>
          <w:sz w:val="24"/>
          <w:szCs w:val="24"/>
        </w:rPr>
        <w:t xml:space="preserve">ata was sorted in a variety of ways to provide a snapshot of student achievement and identify possible areas of opportunity.  </w:t>
      </w:r>
    </w:p>
    <w:p w14:paraId="7B76220A" w14:textId="5BDA5DBC" w:rsidR="7CC322CA" w:rsidRPr="00EC2E6A" w:rsidRDefault="7427F719" w:rsidP="7427F719">
      <w:pPr>
        <w:rPr>
          <w:rFonts w:ascii="Calibri" w:eastAsia="Calibri" w:hAnsi="Calibri" w:cs="Calibri"/>
          <w:sz w:val="24"/>
          <w:szCs w:val="24"/>
          <w:highlight w:val="yellow"/>
        </w:rPr>
      </w:pPr>
      <w:r w:rsidRPr="27C562CF">
        <w:rPr>
          <w:sz w:val="24"/>
          <w:szCs w:val="24"/>
        </w:rPr>
        <w:t xml:space="preserve">While the scores vary depending on how the data is sorted, </w:t>
      </w:r>
      <w:r w:rsidR="00674C56" w:rsidRPr="27C562CF">
        <w:rPr>
          <w:sz w:val="24"/>
          <w:szCs w:val="24"/>
        </w:rPr>
        <w:t>Citizenship</w:t>
      </w:r>
      <w:r w:rsidRPr="27C562CF">
        <w:rPr>
          <w:sz w:val="24"/>
          <w:szCs w:val="24"/>
        </w:rPr>
        <w:t xml:space="preserve"> is generally the criterion on which students score the h</w:t>
      </w:r>
      <w:r w:rsidR="0065523D" w:rsidRPr="27C562CF">
        <w:rPr>
          <w:sz w:val="24"/>
          <w:szCs w:val="24"/>
        </w:rPr>
        <w:t xml:space="preserve">ighest, while </w:t>
      </w:r>
      <w:r w:rsidR="00674C56" w:rsidRPr="27C562CF">
        <w:rPr>
          <w:sz w:val="24"/>
          <w:szCs w:val="24"/>
        </w:rPr>
        <w:t>Environmental Responsibility</w:t>
      </w:r>
      <w:r w:rsidR="0065523D" w:rsidRPr="27C562CF">
        <w:rPr>
          <w:sz w:val="24"/>
          <w:szCs w:val="24"/>
        </w:rPr>
        <w:t xml:space="preserve"> is</w:t>
      </w:r>
      <w:r w:rsidRPr="27C562CF">
        <w:rPr>
          <w:sz w:val="24"/>
          <w:szCs w:val="24"/>
        </w:rPr>
        <w:t xml:space="preserve"> often the lowest</w:t>
      </w:r>
      <w:r w:rsidR="00674C56" w:rsidRPr="27C562CF">
        <w:rPr>
          <w:sz w:val="24"/>
          <w:szCs w:val="24"/>
        </w:rPr>
        <w:t xml:space="preserve"> (in the instances that it was measured)</w:t>
      </w:r>
      <w:r w:rsidRPr="27C562CF">
        <w:rPr>
          <w:sz w:val="24"/>
          <w:szCs w:val="24"/>
        </w:rPr>
        <w:t xml:space="preserve">. Nevertheless, </w:t>
      </w:r>
      <w:r w:rsidR="7EF0A1B9" w:rsidRPr="27C562CF">
        <w:rPr>
          <w:sz w:val="24"/>
          <w:szCs w:val="24"/>
        </w:rPr>
        <w:t xml:space="preserve">the average score for </w:t>
      </w:r>
      <w:r w:rsidRPr="27C562CF">
        <w:rPr>
          <w:sz w:val="24"/>
          <w:szCs w:val="24"/>
        </w:rPr>
        <w:t xml:space="preserve">all criteria </w:t>
      </w:r>
      <w:r w:rsidR="7449B771" w:rsidRPr="27C562CF">
        <w:rPr>
          <w:sz w:val="24"/>
          <w:szCs w:val="24"/>
        </w:rPr>
        <w:t>was 3.11</w:t>
      </w:r>
      <w:r w:rsidRPr="27C562CF">
        <w:rPr>
          <w:sz w:val="24"/>
          <w:szCs w:val="24"/>
        </w:rPr>
        <w:t xml:space="preserve"> placing students between the competent and accomplished levels. G</w:t>
      </w:r>
      <w:r w:rsidRPr="27C562CF">
        <w:rPr>
          <w:rFonts w:ascii="Calibri" w:eastAsia="Calibri" w:hAnsi="Calibri" w:cs="Calibri"/>
          <w:sz w:val="24"/>
          <w:szCs w:val="24"/>
        </w:rPr>
        <w:t>iven that these skills are developed iteratively over time and students will continue to apply and develop these skills throughout the remainder of their time at TCC, these scores seem appropriate.</w:t>
      </w:r>
    </w:p>
    <w:p w14:paraId="6F18CB14" w14:textId="77777777" w:rsidR="00FE4B8C" w:rsidRPr="00FE4B8C" w:rsidRDefault="00DA403C" w:rsidP="00DA687E">
      <w:pPr>
        <w:pStyle w:val="Heading1"/>
      </w:pPr>
      <w:r>
        <w:t>Recommendations</w:t>
      </w:r>
    </w:p>
    <w:p w14:paraId="3ABA8C93" w14:textId="783328C3" w:rsidR="00F238B3" w:rsidRDefault="00F238B3" w:rsidP="00F238B3">
      <w:pPr>
        <w:rPr>
          <w:rFonts w:ascii="Calibri" w:eastAsia="Calibri" w:hAnsi="Calibri" w:cs="Calibri"/>
          <w:sz w:val="24"/>
          <w:szCs w:val="24"/>
        </w:rPr>
      </w:pPr>
      <w:r>
        <w:rPr>
          <w:rFonts w:ascii="Calibri" w:eastAsia="Calibri" w:hAnsi="Calibri" w:cs="Calibri"/>
          <w:sz w:val="24"/>
          <w:szCs w:val="24"/>
        </w:rPr>
        <w:t>Continue to increase the sample size and ensure that samples are representative of all campus divisions.</w:t>
      </w:r>
    </w:p>
    <w:p w14:paraId="6841B3D0" w14:textId="1E031E95" w:rsidR="00F238B3" w:rsidRDefault="00F238B3" w:rsidP="00F238B3">
      <w:r>
        <w:rPr>
          <w:rFonts w:ascii="Calibri" w:eastAsia="Calibri" w:hAnsi="Calibri" w:cs="Calibri"/>
          <w:sz w:val="24"/>
          <w:szCs w:val="24"/>
        </w:rPr>
        <w:t>For the most part, t</w:t>
      </w:r>
      <w:r w:rsidRPr="36F3E62E">
        <w:rPr>
          <w:sz w:val="24"/>
          <w:szCs w:val="24"/>
        </w:rPr>
        <w:t xml:space="preserve">he verbiage of the </w:t>
      </w:r>
      <w:r>
        <w:rPr>
          <w:sz w:val="24"/>
          <w:szCs w:val="24"/>
        </w:rPr>
        <w:t>RES</w:t>
      </w:r>
      <w:r w:rsidRPr="36F3E62E">
        <w:rPr>
          <w:sz w:val="24"/>
          <w:szCs w:val="24"/>
        </w:rPr>
        <w:t xml:space="preserve"> DLO and </w:t>
      </w:r>
      <w:r>
        <w:rPr>
          <w:sz w:val="24"/>
          <w:szCs w:val="24"/>
        </w:rPr>
        <w:t>its</w:t>
      </w:r>
      <w:r w:rsidRPr="36F3E62E">
        <w:rPr>
          <w:sz w:val="24"/>
          <w:szCs w:val="24"/>
        </w:rPr>
        <w:t xml:space="preserve"> rubric w</w:t>
      </w:r>
      <w:r>
        <w:rPr>
          <w:sz w:val="24"/>
          <w:szCs w:val="24"/>
        </w:rPr>
        <w:t>as</w:t>
      </w:r>
      <w:r w:rsidRPr="36F3E62E">
        <w:rPr>
          <w:sz w:val="24"/>
          <w:szCs w:val="24"/>
        </w:rPr>
        <w:t xml:space="preserve"> effective.</w:t>
      </w:r>
      <w:r>
        <w:rPr>
          <w:sz w:val="24"/>
          <w:szCs w:val="24"/>
        </w:rPr>
        <w:t xml:space="preserve"> However, s</w:t>
      </w:r>
      <w:r>
        <w:rPr>
          <w:rFonts w:ascii="Calibri" w:eastAsia="Calibri" w:hAnsi="Calibri" w:cs="Calibri"/>
          <w:sz w:val="24"/>
          <w:szCs w:val="24"/>
        </w:rPr>
        <w:t>ince many assignments did address environmental responsibility, consider forming a taskforce to identify additional ways faculty can include this element in their course assessment.</w:t>
      </w:r>
    </w:p>
    <w:p w14:paraId="3B9C27AD" w14:textId="0B5A2D53" w:rsidR="00F238B3" w:rsidRPr="00EC2E6A" w:rsidRDefault="00F238B3" w:rsidP="00F238B3">
      <w:pPr>
        <w:rPr>
          <w:sz w:val="24"/>
          <w:szCs w:val="24"/>
        </w:rPr>
      </w:pPr>
      <w:r w:rsidRPr="36F3E62E">
        <w:rPr>
          <w:sz w:val="24"/>
          <w:szCs w:val="24"/>
        </w:rPr>
        <w:t xml:space="preserve">Faculty </w:t>
      </w:r>
      <w:r>
        <w:rPr>
          <w:sz w:val="24"/>
          <w:szCs w:val="24"/>
        </w:rPr>
        <w:t>are</w:t>
      </w:r>
      <w:r w:rsidRPr="36F3E62E">
        <w:rPr>
          <w:sz w:val="24"/>
          <w:szCs w:val="24"/>
        </w:rPr>
        <w:t xml:space="preserve"> encouraged to use this report to help inform curriculum revisions in their classes/program or to as a starting point in creating their o</w:t>
      </w:r>
      <w:r>
        <w:rPr>
          <w:sz w:val="24"/>
          <w:szCs w:val="24"/>
        </w:rPr>
        <w:t>wn assessment project around RES</w:t>
      </w:r>
      <w:r w:rsidRPr="36F3E62E">
        <w:rPr>
          <w:sz w:val="24"/>
          <w:szCs w:val="24"/>
        </w:rPr>
        <w:t>.</w:t>
      </w:r>
    </w:p>
    <w:p w14:paraId="1CBC6CE3" w14:textId="03AA10F1" w:rsidR="00706B95" w:rsidRPr="00F41B40" w:rsidRDefault="00706B95" w:rsidP="00F41B40">
      <w:pPr>
        <w:rPr>
          <w:sz w:val="24"/>
          <w:szCs w:val="24"/>
        </w:rPr>
      </w:pPr>
    </w:p>
    <w:sectPr w:rsidR="00706B95" w:rsidRPr="00F41B40" w:rsidSect="003320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F7A33"/>
    <w:multiLevelType w:val="hybridMultilevel"/>
    <w:tmpl w:val="95323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3C"/>
    <w:rsid w:val="00014A6F"/>
    <w:rsid w:val="000254B7"/>
    <w:rsid w:val="00025B21"/>
    <w:rsid w:val="00036309"/>
    <w:rsid w:val="000428CC"/>
    <w:rsid w:val="00043543"/>
    <w:rsid w:val="0005015D"/>
    <w:rsid w:val="000551ED"/>
    <w:rsid w:val="000970C3"/>
    <w:rsid w:val="000D3EF9"/>
    <w:rsid w:val="000D4DD1"/>
    <w:rsid w:val="00105A52"/>
    <w:rsid w:val="00144322"/>
    <w:rsid w:val="00145D69"/>
    <w:rsid w:val="00147DFD"/>
    <w:rsid w:val="00160423"/>
    <w:rsid w:val="00173237"/>
    <w:rsid w:val="001744F8"/>
    <w:rsid w:val="0018208C"/>
    <w:rsid w:val="001874A6"/>
    <w:rsid w:val="001A0C28"/>
    <w:rsid w:val="001B3DEB"/>
    <w:rsid w:val="00211D0B"/>
    <w:rsid w:val="00216A58"/>
    <w:rsid w:val="00222CEA"/>
    <w:rsid w:val="00235C26"/>
    <w:rsid w:val="00243556"/>
    <w:rsid w:val="0026197E"/>
    <w:rsid w:val="00273319"/>
    <w:rsid w:val="00273A86"/>
    <w:rsid w:val="002913F3"/>
    <w:rsid w:val="002A0C3D"/>
    <w:rsid w:val="002A6AAC"/>
    <w:rsid w:val="002C538B"/>
    <w:rsid w:val="002D4117"/>
    <w:rsid w:val="002F32C0"/>
    <w:rsid w:val="002F7A76"/>
    <w:rsid w:val="00322CEC"/>
    <w:rsid w:val="00330C3F"/>
    <w:rsid w:val="00332033"/>
    <w:rsid w:val="00334685"/>
    <w:rsid w:val="003474FA"/>
    <w:rsid w:val="00357361"/>
    <w:rsid w:val="003708AA"/>
    <w:rsid w:val="00377EBC"/>
    <w:rsid w:val="00387083"/>
    <w:rsid w:val="00397896"/>
    <w:rsid w:val="003A56FC"/>
    <w:rsid w:val="003B615D"/>
    <w:rsid w:val="003D38DD"/>
    <w:rsid w:val="003E7F4A"/>
    <w:rsid w:val="003F53DA"/>
    <w:rsid w:val="003F7470"/>
    <w:rsid w:val="004541A4"/>
    <w:rsid w:val="00473DA4"/>
    <w:rsid w:val="0047679A"/>
    <w:rsid w:val="00480D15"/>
    <w:rsid w:val="004A12A8"/>
    <w:rsid w:val="004C5A8A"/>
    <w:rsid w:val="004C68C9"/>
    <w:rsid w:val="004D6E87"/>
    <w:rsid w:val="004E63EA"/>
    <w:rsid w:val="005039CB"/>
    <w:rsid w:val="00517FE7"/>
    <w:rsid w:val="0053531F"/>
    <w:rsid w:val="00545C12"/>
    <w:rsid w:val="00564091"/>
    <w:rsid w:val="0057676A"/>
    <w:rsid w:val="00585B6D"/>
    <w:rsid w:val="005905FF"/>
    <w:rsid w:val="005B698F"/>
    <w:rsid w:val="005C205F"/>
    <w:rsid w:val="00614AC4"/>
    <w:rsid w:val="006440A9"/>
    <w:rsid w:val="0065523D"/>
    <w:rsid w:val="00657389"/>
    <w:rsid w:val="006625E7"/>
    <w:rsid w:val="00674C56"/>
    <w:rsid w:val="00686E7A"/>
    <w:rsid w:val="00697439"/>
    <w:rsid w:val="006E2F13"/>
    <w:rsid w:val="006F38D2"/>
    <w:rsid w:val="00701B35"/>
    <w:rsid w:val="00705648"/>
    <w:rsid w:val="00706B95"/>
    <w:rsid w:val="0071555A"/>
    <w:rsid w:val="00716ED6"/>
    <w:rsid w:val="007527C6"/>
    <w:rsid w:val="00757B64"/>
    <w:rsid w:val="00764E77"/>
    <w:rsid w:val="007757B6"/>
    <w:rsid w:val="007870AF"/>
    <w:rsid w:val="007B44A3"/>
    <w:rsid w:val="007B5698"/>
    <w:rsid w:val="007C3DA3"/>
    <w:rsid w:val="007F2995"/>
    <w:rsid w:val="0080078B"/>
    <w:rsid w:val="008340FD"/>
    <w:rsid w:val="008426FA"/>
    <w:rsid w:val="00870232"/>
    <w:rsid w:val="008728AD"/>
    <w:rsid w:val="008D6811"/>
    <w:rsid w:val="008E6F32"/>
    <w:rsid w:val="009032AE"/>
    <w:rsid w:val="009045F2"/>
    <w:rsid w:val="0091159C"/>
    <w:rsid w:val="00912846"/>
    <w:rsid w:val="00920C34"/>
    <w:rsid w:val="00924F1F"/>
    <w:rsid w:val="00932512"/>
    <w:rsid w:val="00950B5B"/>
    <w:rsid w:val="009719E1"/>
    <w:rsid w:val="00982ACB"/>
    <w:rsid w:val="009B40C2"/>
    <w:rsid w:val="009D09CB"/>
    <w:rsid w:val="009E7B93"/>
    <w:rsid w:val="009F780E"/>
    <w:rsid w:val="00A57295"/>
    <w:rsid w:val="00A64A1D"/>
    <w:rsid w:val="00A72E1B"/>
    <w:rsid w:val="00A7665C"/>
    <w:rsid w:val="00A76780"/>
    <w:rsid w:val="00A80BD8"/>
    <w:rsid w:val="00A95DEC"/>
    <w:rsid w:val="00AB1B44"/>
    <w:rsid w:val="00AC3F3B"/>
    <w:rsid w:val="00AC52B6"/>
    <w:rsid w:val="00AF0010"/>
    <w:rsid w:val="00B04458"/>
    <w:rsid w:val="00B26925"/>
    <w:rsid w:val="00B4087F"/>
    <w:rsid w:val="00B53B37"/>
    <w:rsid w:val="00B60616"/>
    <w:rsid w:val="00B663DC"/>
    <w:rsid w:val="00B923D4"/>
    <w:rsid w:val="00BE7B83"/>
    <w:rsid w:val="00BF20D0"/>
    <w:rsid w:val="00BF2626"/>
    <w:rsid w:val="00BF3969"/>
    <w:rsid w:val="00BF5D3A"/>
    <w:rsid w:val="00C041FD"/>
    <w:rsid w:val="00C06EE5"/>
    <w:rsid w:val="00C10969"/>
    <w:rsid w:val="00C1280E"/>
    <w:rsid w:val="00C26736"/>
    <w:rsid w:val="00C40EC8"/>
    <w:rsid w:val="00C46476"/>
    <w:rsid w:val="00C46B9C"/>
    <w:rsid w:val="00C61702"/>
    <w:rsid w:val="00C8621E"/>
    <w:rsid w:val="00C919C3"/>
    <w:rsid w:val="00C9362F"/>
    <w:rsid w:val="00CA36F6"/>
    <w:rsid w:val="00CD1014"/>
    <w:rsid w:val="00CE08AA"/>
    <w:rsid w:val="00CE2B31"/>
    <w:rsid w:val="00CF5881"/>
    <w:rsid w:val="00D135EB"/>
    <w:rsid w:val="00D26B50"/>
    <w:rsid w:val="00D97440"/>
    <w:rsid w:val="00DA0C84"/>
    <w:rsid w:val="00DA403C"/>
    <w:rsid w:val="00DA687E"/>
    <w:rsid w:val="00DB745B"/>
    <w:rsid w:val="00DC0C88"/>
    <w:rsid w:val="00DC4E1E"/>
    <w:rsid w:val="00DD091C"/>
    <w:rsid w:val="00DD34FC"/>
    <w:rsid w:val="00DD66DA"/>
    <w:rsid w:val="00DF21B9"/>
    <w:rsid w:val="00E03A5E"/>
    <w:rsid w:val="00E13778"/>
    <w:rsid w:val="00E2067C"/>
    <w:rsid w:val="00E369EA"/>
    <w:rsid w:val="00E613E1"/>
    <w:rsid w:val="00E63A9E"/>
    <w:rsid w:val="00E70E6F"/>
    <w:rsid w:val="00E72EC9"/>
    <w:rsid w:val="00E85B0F"/>
    <w:rsid w:val="00EA7950"/>
    <w:rsid w:val="00EC2E6A"/>
    <w:rsid w:val="00EC5DF8"/>
    <w:rsid w:val="00F231E9"/>
    <w:rsid w:val="00F238B3"/>
    <w:rsid w:val="00F2426E"/>
    <w:rsid w:val="00F41B40"/>
    <w:rsid w:val="00F77E48"/>
    <w:rsid w:val="00FA052E"/>
    <w:rsid w:val="00FA481D"/>
    <w:rsid w:val="00FA5D39"/>
    <w:rsid w:val="00FC09AE"/>
    <w:rsid w:val="00FC7378"/>
    <w:rsid w:val="00FD1A30"/>
    <w:rsid w:val="00FD22DB"/>
    <w:rsid w:val="00FD4FBA"/>
    <w:rsid w:val="00FD6D00"/>
    <w:rsid w:val="00FE4B8C"/>
    <w:rsid w:val="00FF6A22"/>
    <w:rsid w:val="011C89C9"/>
    <w:rsid w:val="026576E3"/>
    <w:rsid w:val="12F82F11"/>
    <w:rsid w:val="172E68E4"/>
    <w:rsid w:val="1ADDF5F5"/>
    <w:rsid w:val="233407CB"/>
    <w:rsid w:val="2449ECB8"/>
    <w:rsid w:val="27C562CF"/>
    <w:rsid w:val="29DD8C2D"/>
    <w:rsid w:val="2CB495F0"/>
    <w:rsid w:val="2CF85C2D"/>
    <w:rsid w:val="43248D27"/>
    <w:rsid w:val="4E0AB8E8"/>
    <w:rsid w:val="4F4792F3"/>
    <w:rsid w:val="512DB2B5"/>
    <w:rsid w:val="57A3B408"/>
    <w:rsid w:val="631EE68F"/>
    <w:rsid w:val="67CF3FDB"/>
    <w:rsid w:val="7291959B"/>
    <w:rsid w:val="7427F719"/>
    <w:rsid w:val="7449B771"/>
    <w:rsid w:val="7CC322CA"/>
    <w:rsid w:val="7E536A7E"/>
    <w:rsid w:val="7EF0A1B9"/>
    <w:rsid w:val="7FE88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7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0C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0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67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A0C3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E6F32"/>
    <w:rPr>
      <w:color w:val="0000FF" w:themeColor="hyperlink"/>
      <w:u w:val="single"/>
    </w:rPr>
  </w:style>
  <w:style w:type="character" w:styleId="FollowedHyperlink">
    <w:name w:val="FollowedHyperlink"/>
    <w:basedOn w:val="DefaultParagraphFont"/>
    <w:uiPriority w:val="99"/>
    <w:semiHidden/>
    <w:unhideWhenUsed/>
    <w:rsid w:val="00B04458"/>
    <w:rPr>
      <w:color w:val="800080" w:themeColor="followedHyperlink"/>
      <w:u w:val="single"/>
    </w:rPr>
  </w:style>
  <w:style w:type="paragraph" w:styleId="ListParagraph">
    <w:name w:val="List Paragraph"/>
    <w:basedOn w:val="Normal"/>
    <w:uiPriority w:val="34"/>
    <w:qFormat/>
    <w:rsid w:val="00764E77"/>
    <w:pPr>
      <w:ind w:left="720"/>
      <w:contextualSpacing/>
    </w:pPr>
  </w:style>
  <w:style w:type="paragraph" w:styleId="BalloonText">
    <w:name w:val="Balloon Text"/>
    <w:basedOn w:val="Normal"/>
    <w:link w:val="BalloonTextChar"/>
    <w:uiPriority w:val="99"/>
    <w:semiHidden/>
    <w:unhideWhenUsed/>
    <w:rsid w:val="00B923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3D4"/>
    <w:rPr>
      <w:rFonts w:ascii="Lucida Grande" w:hAnsi="Lucida Grande"/>
      <w:sz w:val="18"/>
      <w:szCs w:val="18"/>
    </w:rPr>
  </w:style>
  <w:style w:type="character" w:customStyle="1" w:styleId="normaltextrun">
    <w:name w:val="normaltextrun"/>
    <w:basedOn w:val="DefaultParagraphFont"/>
    <w:rsid w:val="00A72E1B"/>
  </w:style>
  <w:style w:type="paragraph" w:customStyle="1" w:styleId="paragraph">
    <w:name w:val="paragraph"/>
    <w:basedOn w:val="Normal"/>
    <w:rsid w:val="00A72E1B"/>
    <w:pPr>
      <w:spacing w:before="100" w:beforeAutospacing="1" w:after="100" w:afterAutospacing="1" w:line="240" w:lineRule="auto"/>
    </w:pPr>
    <w:rPr>
      <w:rFonts w:ascii="Times" w:hAnsi="Times"/>
      <w:sz w:val="20"/>
      <w:szCs w:val="20"/>
    </w:rPr>
  </w:style>
  <w:style w:type="character" w:customStyle="1" w:styleId="eop">
    <w:name w:val="eop"/>
    <w:basedOn w:val="DefaultParagraphFont"/>
    <w:rsid w:val="00A72E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67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0C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0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67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A0C3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E6F32"/>
    <w:rPr>
      <w:color w:val="0000FF" w:themeColor="hyperlink"/>
      <w:u w:val="single"/>
    </w:rPr>
  </w:style>
  <w:style w:type="character" w:styleId="FollowedHyperlink">
    <w:name w:val="FollowedHyperlink"/>
    <w:basedOn w:val="DefaultParagraphFont"/>
    <w:uiPriority w:val="99"/>
    <w:semiHidden/>
    <w:unhideWhenUsed/>
    <w:rsid w:val="00B04458"/>
    <w:rPr>
      <w:color w:val="800080" w:themeColor="followedHyperlink"/>
      <w:u w:val="single"/>
    </w:rPr>
  </w:style>
  <w:style w:type="paragraph" w:styleId="ListParagraph">
    <w:name w:val="List Paragraph"/>
    <w:basedOn w:val="Normal"/>
    <w:uiPriority w:val="34"/>
    <w:qFormat/>
    <w:rsid w:val="00764E77"/>
    <w:pPr>
      <w:ind w:left="720"/>
      <w:contextualSpacing/>
    </w:pPr>
  </w:style>
  <w:style w:type="paragraph" w:styleId="BalloonText">
    <w:name w:val="Balloon Text"/>
    <w:basedOn w:val="Normal"/>
    <w:link w:val="BalloonTextChar"/>
    <w:uiPriority w:val="99"/>
    <w:semiHidden/>
    <w:unhideWhenUsed/>
    <w:rsid w:val="00B923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3D4"/>
    <w:rPr>
      <w:rFonts w:ascii="Lucida Grande" w:hAnsi="Lucida Grande"/>
      <w:sz w:val="18"/>
      <w:szCs w:val="18"/>
    </w:rPr>
  </w:style>
  <w:style w:type="character" w:customStyle="1" w:styleId="normaltextrun">
    <w:name w:val="normaltextrun"/>
    <w:basedOn w:val="DefaultParagraphFont"/>
    <w:rsid w:val="00A72E1B"/>
  </w:style>
  <w:style w:type="paragraph" w:customStyle="1" w:styleId="paragraph">
    <w:name w:val="paragraph"/>
    <w:basedOn w:val="Normal"/>
    <w:rsid w:val="00A72E1B"/>
    <w:pPr>
      <w:spacing w:before="100" w:beforeAutospacing="1" w:after="100" w:afterAutospacing="1" w:line="240" w:lineRule="auto"/>
    </w:pPr>
    <w:rPr>
      <w:rFonts w:ascii="Times" w:hAnsi="Times"/>
      <w:sz w:val="20"/>
      <w:szCs w:val="20"/>
    </w:rPr>
  </w:style>
  <w:style w:type="character" w:customStyle="1" w:styleId="eop">
    <w:name w:val="eop"/>
    <w:basedOn w:val="DefaultParagraphFont"/>
    <w:rsid w:val="00A7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5219">
      <w:bodyDiv w:val="1"/>
      <w:marLeft w:val="0"/>
      <w:marRight w:val="0"/>
      <w:marTop w:val="0"/>
      <w:marBottom w:val="0"/>
      <w:divBdr>
        <w:top w:val="none" w:sz="0" w:space="0" w:color="auto"/>
        <w:left w:val="none" w:sz="0" w:space="0" w:color="auto"/>
        <w:bottom w:val="none" w:sz="0" w:space="0" w:color="auto"/>
        <w:right w:val="none" w:sz="0" w:space="0" w:color="auto"/>
      </w:divBdr>
      <w:divsChild>
        <w:div w:id="52505810">
          <w:marLeft w:val="0"/>
          <w:marRight w:val="0"/>
          <w:marTop w:val="0"/>
          <w:marBottom w:val="0"/>
          <w:divBdr>
            <w:top w:val="none" w:sz="0" w:space="0" w:color="auto"/>
            <w:left w:val="none" w:sz="0" w:space="0" w:color="auto"/>
            <w:bottom w:val="none" w:sz="0" w:space="0" w:color="auto"/>
            <w:right w:val="none" w:sz="0" w:space="0" w:color="auto"/>
          </w:divBdr>
        </w:div>
      </w:divsChild>
    </w:div>
    <w:div w:id="472019497">
      <w:bodyDiv w:val="1"/>
      <w:marLeft w:val="0"/>
      <w:marRight w:val="0"/>
      <w:marTop w:val="0"/>
      <w:marBottom w:val="0"/>
      <w:divBdr>
        <w:top w:val="none" w:sz="0" w:space="0" w:color="auto"/>
        <w:left w:val="none" w:sz="0" w:space="0" w:color="auto"/>
        <w:bottom w:val="none" w:sz="0" w:space="0" w:color="auto"/>
        <w:right w:val="none" w:sz="0" w:space="0" w:color="auto"/>
      </w:divBdr>
      <w:divsChild>
        <w:div w:id="1850833405">
          <w:marLeft w:val="0"/>
          <w:marRight w:val="0"/>
          <w:marTop w:val="0"/>
          <w:marBottom w:val="0"/>
          <w:divBdr>
            <w:top w:val="none" w:sz="0" w:space="0" w:color="auto"/>
            <w:left w:val="none" w:sz="0" w:space="0" w:color="auto"/>
            <w:bottom w:val="none" w:sz="0" w:space="0" w:color="auto"/>
            <w:right w:val="none" w:sz="0" w:space="0" w:color="auto"/>
          </w:divBdr>
        </w:div>
      </w:divsChild>
    </w:div>
    <w:div w:id="1289435767">
      <w:bodyDiv w:val="1"/>
      <w:marLeft w:val="0"/>
      <w:marRight w:val="0"/>
      <w:marTop w:val="0"/>
      <w:marBottom w:val="0"/>
      <w:divBdr>
        <w:top w:val="none" w:sz="0" w:space="0" w:color="auto"/>
        <w:left w:val="none" w:sz="0" w:space="0" w:color="auto"/>
        <w:bottom w:val="none" w:sz="0" w:space="0" w:color="auto"/>
        <w:right w:val="none" w:sz="0" w:space="0" w:color="auto"/>
      </w:divBdr>
      <w:divsChild>
        <w:div w:id="429084837">
          <w:marLeft w:val="0"/>
          <w:marRight w:val="0"/>
          <w:marTop w:val="0"/>
          <w:marBottom w:val="0"/>
          <w:divBdr>
            <w:top w:val="none" w:sz="0" w:space="0" w:color="auto"/>
            <w:left w:val="none" w:sz="0" w:space="0" w:color="auto"/>
            <w:bottom w:val="none" w:sz="0" w:space="0" w:color="auto"/>
            <w:right w:val="none" w:sz="0" w:space="0" w:color="auto"/>
          </w:divBdr>
        </w:div>
        <w:div w:id="1719548384">
          <w:marLeft w:val="0"/>
          <w:marRight w:val="0"/>
          <w:marTop w:val="0"/>
          <w:marBottom w:val="0"/>
          <w:divBdr>
            <w:top w:val="none" w:sz="0" w:space="0" w:color="auto"/>
            <w:left w:val="none" w:sz="0" w:space="0" w:color="auto"/>
            <w:bottom w:val="none" w:sz="0" w:space="0" w:color="auto"/>
            <w:right w:val="none" w:sz="0" w:space="0" w:color="auto"/>
          </w:divBdr>
        </w:div>
      </w:divsChild>
    </w:div>
    <w:div w:id="1291396833">
      <w:bodyDiv w:val="1"/>
      <w:marLeft w:val="0"/>
      <w:marRight w:val="0"/>
      <w:marTop w:val="0"/>
      <w:marBottom w:val="0"/>
      <w:divBdr>
        <w:top w:val="none" w:sz="0" w:space="0" w:color="auto"/>
        <w:left w:val="none" w:sz="0" w:space="0" w:color="auto"/>
        <w:bottom w:val="none" w:sz="0" w:space="0" w:color="auto"/>
        <w:right w:val="none" w:sz="0" w:space="0" w:color="auto"/>
      </w:divBdr>
    </w:div>
    <w:div w:id="1571689686">
      <w:bodyDiv w:val="1"/>
      <w:marLeft w:val="0"/>
      <w:marRight w:val="0"/>
      <w:marTop w:val="0"/>
      <w:marBottom w:val="0"/>
      <w:divBdr>
        <w:top w:val="none" w:sz="0" w:space="0" w:color="auto"/>
        <w:left w:val="none" w:sz="0" w:space="0" w:color="auto"/>
        <w:bottom w:val="none" w:sz="0" w:space="0" w:color="auto"/>
        <w:right w:val="none" w:sz="0" w:space="0" w:color="auto"/>
      </w:divBdr>
      <w:divsChild>
        <w:div w:id="1444300597">
          <w:marLeft w:val="0"/>
          <w:marRight w:val="0"/>
          <w:marTop w:val="0"/>
          <w:marBottom w:val="0"/>
          <w:divBdr>
            <w:top w:val="none" w:sz="0" w:space="0" w:color="auto"/>
            <w:left w:val="none" w:sz="0" w:space="0" w:color="auto"/>
            <w:bottom w:val="none" w:sz="0" w:space="0" w:color="auto"/>
            <w:right w:val="none" w:sz="0" w:space="0" w:color="auto"/>
          </w:divBdr>
        </w:div>
      </w:divsChild>
    </w:div>
    <w:div w:id="1744403962">
      <w:bodyDiv w:val="1"/>
      <w:marLeft w:val="0"/>
      <w:marRight w:val="0"/>
      <w:marTop w:val="0"/>
      <w:marBottom w:val="0"/>
      <w:divBdr>
        <w:top w:val="none" w:sz="0" w:space="0" w:color="auto"/>
        <w:left w:val="none" w:sz="0" w:space="0" w:color="auto"/>
        <w:bottom w:val="none" w:sz="0" w:space="0" w:color="auto"/>
        <w:right w:val="none" w:sz="0" w:space="0" w:color="auto"/>
      </w:divBdr>
      <w:divsChild>
        <w:div w:id="1843009076">
          <w:marLeft w:val="0"/>
          <w:marRight w:val="0"/>
          <w:marTop w:val="0"/>
          <w:marBottom w:val="0"/>
          <w:divBdr>
            <w:top w:val="none" w:sz="0" w:space="0" w:color="auto"/>
            <w:left w:val="none" w:sz="0" w:space="0" w:color="auto"/>
            <w:bottom w:val="none" w:sz="0" w:space="0" w:color="auto"/>
            <w:right w:val="none" w:sz="0" w:space="0" w:color="auto"/>
          </w:divBdr>
        </w:div>
      </w:divsChild>
    </w:div>
    <w:div w:id="1943413285">
      <w:bodyDiv w:val="1"/>
      <w:marLeft w:val="0"/>
      <w:marRight w:val="0"/>
      <w:marTop w:val="0"/>
      <w:marBottom w:val="0"/>
      <w:divBdr>
        <w:top w:val="none" w:sz="0" w:space="0" w:color="auto"/>
        <w:left w:val="none" w:sz="0" w:space="0" w:color="auto"/>
        <w:bottom w:val="none" w:sz="0" w:space="0" w:color="auto"/>
        <w:right w:val="none" w:sz="0" w:space="0" w:color="auto"/>
      </w:divBdr>
      <w:divsChild>
        <w:div w:id="178131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B31EEC757C64283B80C86B1E0CB2B" ma:contentTypeVersion="6" ma:contentTypeDescription="Create a new document." ma:contentTypeScope="" ma:versionID="3b8a0dad4d506c1d3575d69f7d1f3c81">
  <xsd:schema xmlns:xsd="http://www.w3.org/2001/XMLSchema" xmlns:xs="http://www.w3.org/2001/XMLSchema" xmlns:p="http://schemas.microsoft.com/office/2006/metadata/properties" xmlns:ns2="4b092690-c9a7-4ce0-882f-08b892d19ed7" xmlns:ns3="db8fa892-0506-420b-ad3b-677556b71d2e" targetNamespace="http://schemas.microsoft.com/office/2006/metadata/properties" ma:root="true" ma:fieldsID="d3d24d69c7c314e5f483f39154086dc1" ns2:_="" ns3:_="">
    <xsd:import namespace="4b092690-c9a7-4ce0-882f-08b892d19ed7"/>
    <xsd:import namespace="db8fa892-0506-420b-ad3b-677556b71d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92690-c9a7-4ce0-882f-08b892d19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8fa892-0506-420b-ad3b-677556b71d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FE37-B137-4993-9EED-AD238DEBB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92690-c9a7-4ce0-882f-08b892d19ed7"/>
    <ds:schemaRef ds:uri="db8fa892-0506-420b-ad3b-677556b71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5A233-F6A3-4A60-ABF2-C2F4C7BFABF9}">
  <ds:schemaRefs>
    <ds:schemaRef ds:uri="http://schemas.microsoft.com/office/2006/documentManagement/types"/>
    <ds:schemaRef ds:uri="http://purl.org/dc/elements/1.1/"/>
    <ds:schemaRef ds:uri="http://schemas.microsoft.com/office/2006/metadata/properties"/>
    <ds:schemaRef ds:uri="4b092690-c9a7-4ce0-882f-08b892d19ed7"/>
    <ds:schemaRef ds:uri="http://purl.org/dc/terms/"/>
    <ds:schemaRef ds:uri="http://schemas.openxmlformats.org/package/2006/metadata/core-properties"/>
    <ds:schemaRef ds:uri="http://purl.org/dc/dcmitype/"/>
    <ds:schemaRef ds:uri="http://schemas.microsoft.com/office/infopath/2007/PartnerControls"/>
    <ds:schemaRef ds:uri="db8fa892-0506-420b-ad3b-677556b71d2e"/>
    <ds:schemaRef ds:uri="http://www.w3.org/XML/1998/namespace"/>
  </ds:schemaRefs>
</ds:datastoreItem>
</file>

<file path=customXml/itemProps3.xml><?xml version="1.0" encoding="utf-8"?>
<ds:datastoreItem xmlns:ds="http://schemas.openxmlformats.org/officeDocument/2006/customXml" ds:itemID="{C14E2A98-9384-4A4B-A565-69355E163F2E}">
  <ds:schemaRefs>
    <ds:schemaRef ds:uri="http://schemas.microsoft.com/sharepoint/v3/contenttype/forms"/>
  </ds:schemaRefs>
</ds:datastoreItem>
</file>

<file path=customXml/itemProps4.xml><?xml version="1.0" encoding="utf-8"?>
<ds:datastoreItem xmlns:ds="http://schemas.openxmlformats.org/officeDocument/2006/customXml" ds:itemID="{B42562CB-F42E-4A4D-B697-3974A637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1461</Words>
  <Characters>8328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Gillanders, Heather</dc:creator>
  <cp:keywords/>
  <dc:description/>
  <cp:lastModifiedBy>Heather</cp:lastModifiedBy>
  <cp:revision>2</cp:revision>
  <cp:lastPrinted>2019-07-15T15:09:00Z</cp:lastPrinted>
  <dcterms:created xsi:type="dcterms:W3CDTF">2020-09-24T20:46:00Z</dcterms:created>
  <dcterms:modified xsi:type="dcterms:W3CDTF">2020-09-24T20:46:00Z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0x01010000CB31EEC757C64283B80C86B1E0CB2B</vt:lpwstr>
  </property>
</Properties>
</file>